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33C6" w14:textId="642F1077" w:rsidR="0099251B" w:rsidRDefault="009822B4" w:rsidP="008D1C70">
      <w:bookmarkStart w:id="0" w:name="_Hlk127869605"/>
      <w:r>
        <w:t>21</w:t>
      </w:r>
      <w:r w:rsidR="0099251B">
        <w:t xml:space="preserve"> February 2023</w:t>
      </w:r>
    </w:p>
    <w:p w14:paraId="3EE50E7E" w14:textId="77777777" w:rsidR="0099251B" w:rsidRDefault="0099251B" w:rsidP="008D1C70"/>
    <w:p w14:paraId="7469D043" w14:textId="257D31E5" w:rsidR="0099251B" w:rsidRDefault="0099251B" w:rsidP="008D1C70">
      <w:r>
        <w:t xml:space="preserve">Australian Government </w:t>
      </w:r>
      <w:r>
        <w:br/>
        <w:t xml:space="preserve">Department of Industry, Science and Resources  </w:t>
      </w:r>
      <w:r>
        <w:br/>
      </w:r>
      <w:r w:rsidRPr="008109C6">
        <w:rPr>
          <w:rFonts w:cstheme="minorHAnsi"/>
          <w:shd w:val="clear" w:color="auto" w:fill="FFFFFF"/>
        </w:rPr>
        <w:t xml:space="preserve">GPO Box </w:t>
      </w:r>
      <w:r>
        <w:rPr>
          <w:rFonts w:cstheme="minorHAnsi"/>
          <w:shd w:val="clear" w:color="auto" w:fill="FFFFFF"/>
        </w:rPr>
        <w:t>2013</w:t>
      </w:r>
      <w:r>
        <w:rPr>
          <w:rFonts w:ascii="Source Sans Pro" w:hAnsi="Source Sans Pro"/>
          <w:color w:val="363535"/>
          <w:sz w:val="27"/>
          <w:szCs w:val="27"/>
        </w:rPr>
        <w:br/>
      </w:r>
      <w:r>
        <w:t>CANBERRA ACT 2601</w:t>
      </w:r>
    </w:p>
    <w:p w14:paraId="1A67880A" w14:textId="77777777" w:rsidR="0099251B" w:rsidRDefault="0099251B" w:rsidP="008D1C70"/>
    <w:p w14:paraId="10DA981D" w14:textId="77777777" w:rsidR="0099251B" w:rsidRDefault="0099251B" w:rsidP="008D1C70">
      <w:r>
        <w:t>Dear Sir/Madam,</w:t>
      </w:r>
    </w:p>
    <w:p w14:paraId="2D0A5805" w14:textId="75A6C387" w:rsidR="0099251B" w:rsidRPr="000A3568" w:rsidRDefault="0099251B" w:rsidP="008D1C70">
      <w:pPr>
        <w:jc w:val="both"/>
        <w:rPr>
          <w:b/>
          <w:bCs/>
        </w:rPr>
      </w:pPr>
      <w:r w:rsidRPr="00EE7105">
        <w:rPr>
          <w:b/>
          <w:bCs/>
        </w:rPr>
        <w:t xml:space="preserve">Re: </w:t>
      </w:r>
      <w:r>
        <w:rPr>
          <w:b/>
          <w:bCs/>
        </w:rPr>
        <w:t>Reforming Australia’s Domestic Gas Security Mechanism: guidelines</w:t>
      </w:r>
      <w:r w:rsidRPr="00EE7105">
        <w:rPr>
          <w:b/>
          <w:bCs/>
        </w:rPr>
        <w:t xml:space="preserve"> – Submission </w:t>
      </w:r>
    </w:p>
    <w:p w14:paraId="00DF763C" w14:textId="61613EF1" w:rsidR="0099251B" w:rsidRDefault="0099251B" w:rsidP="008D1C70">
      <w:pPr>
        <w:jc w:val="both"/>
      </w:pPr>
      <w:r>
        <w:t>The DomGas Alliance (</w:t>
      </w:r>
      <w:r w:rsidRPr="008F0C59">
        <w:rPr>
          <w:b/>
          <w:bCs/>
        </w:rPr>
        <w:t>DGA</w:t>
      </w:r>
      <w:r>
        <w:t xml:space="preserve">) welcomes the opportunity to comment on the </w:t>
      </w:r>
      <w:r w:rsidR="005E6888">
        <w:t xml:space="preserve">proposed </w:t>
      </w:r>
      <w:r>
        <w:t>reforms to the Australian Domestic Gas Security Mechanism (</w:t>
      </w:r>
      <w:r w:rsidRPr="007F7DB8">
        <w:rPr>
          <w:b/>
          <w:bCs/>
        </w:rPr>
        <w:t>ADGSM</w:t>
      </w:r>
      <w:r>
        <w:t>) by the Federal Department of Industry, Science and Resources (DISR). The Alliance wishes to respond to this consultation process, particularly addressing</w:t>
      </w:r>
      <w:r w:rsidR="008466F0">
        <w:t xml:space="preserve"> how the ADGSM, or a similar mechanism</w:t>
      </w:r>
      <w:r w:rsidR="005E6888">
        <w:t>,</w:t>
      </w:r>
      <w:r w:rsidR="008466F0">
        <w:t xml:space="preserve"> might be applicable to Western Australia.</w:t>
      </w:r>
    </w:p>
    <w:p w14:paraId="17C79B0A" w14:textId="77777777" w:rsidR="0099251B" w:rsidRDefault="0099251B" w:rsidP="008D1C70">
      <w:pPr>
        <w:spacing w:line="240" w:lineRule="auto"/>
        <w:jc w:val="both"/>
        <w:rPr>
          <w:b/>
          <w:bCs/>
        </w:rPr>
      </w:pPr>
      <w:r w:rsidRPr="00E272DC">
        <w:rPr>
          <w:b/>
          <w:bCs/>
        </w:rPr>
        <w:t>DomGas Alliance’s role</w:t>
      </w:r>
    </w:p>
    <w:p w14:paraId="5F938DCC" w14:textId="23EFCE87" w:rsidR="0099251B" w:rsidRDefault="0099251B" w:rsidP="008D1C70">
      <w:pPr>
        <w:spacing w:line="240" w:lineRule="auto"/>
        <w:jc w:val="both"/>
      </w:pPr>
      <w:r>
        <w:t xml:space="preserve">The DomGas Alliance is a member-driven industry body representing natural gas users, infrastructure investors and producers in Western Australia, with members including </w:t>
      </w:r>
      <w:r w:rsidR="008466F0">
        <w:t xml:space="preserve">Adbri, </w:t>
      </w:r>
      <w:r>
        <w:t xml:space="preserve">Alcoa of Australia, Coogee, CSBP, Wesfarmers Chemicals, Energy and Fertilisers and Yara Pilbara. </w:t>
      </w:r>
    </w:p>
    <w:p w14:paraId="3AB3B52C" w14:textId="5D3E0AB5" w:rsidR="0099251B" w:rsidRDefault="0099251B" w:rsidP="008D1C70">
      <w:pPr>
        <w:spacing w:line="240" w:lineRule="auto"/>
        <w:jc w:val="both"/>
      </w:pPr>
      <w:r>
        <w:t xml:space="preserve">Formed in 2006 in response to a serious shortage of gas supply for new developments in WA, DGA seeks to ensure a reliable, </w:t>
      </w:r>
      <w:proofErr w:type="gramStart"/>
      <w:r>
        <w:t>affordable</w:t>
      </w:r>
      <w:proofErr w:type="gramEnd"/>
      <w:r>
        <w:t xml:space="preserve"> and diverse supply of natural gas for industry in Western Australia.</w:t>
      </w:r>
    </w:p>
    <w:p w14:paraId="1B3A23EA" w14:textId="77777777" w:rsidR="0099251B" w:rsidRPr="00A9744A" w:rsidRDefault="0099251B" w:rsidP="008D1C70">
      <w:pPr>
        <w:spacing w:line="240" w:lineRule="auto"/>
        <w:jc w:val="both"/>
        <w:rPr>
          <w:rFonts w:eastAsia="Times New Roman" w:cstheme="minorHAnsi"/>
          <w:szCs w:val="20"/>
          <w:lang w:eastAsia="en-AU"/>
        </w:rPr>
      </w:pPr>
      <w:r>
        <w:t>DGA works closely with State and Federal Governments and other industry stakeholders to promote initiatives and debate on domestic gas supply issues.</w:t>
      </w:r>
    </w:p>
    <w:p w14:paraId="40C4AF3B" w14:textId="77777777" w:rsidR="009C6B05" w:rsidRPr="009C6B05" w:rsidRDefault="009C6B05" w:rsidP="008D1C70">
      <w:pPr>
        <w:jc w:val="both"/>
        <w:rPr>
          <w:b/>
          <w:bCs/>
        </w:rPr>
      </w:pPr>
      <w:r w:rsidRPr="009C6B05">
        <w:rPr>
          <w:b/>
          <w:bCs/>
        </w:rPr>
        <w:t>ADGSM principles</w:t>
      </w:r>
    </w:p>
    <w:p w14:paraId="548339A2" w14:textId="77777777" w:rsidR="009C6B05" w:rsidRPr="009C6B05" w:rsidRDefault="009C6B05" w:rsidP="008D1C70">
      <w:pPr>
        <w:spacing w:after="0"/>
        <w:jc w:val="both"/>
        <w:rPr>
          <w:rFonts w:cstheme="minorHAnsi"/>
        </w:rPr>
      </w:pPr>
      <w:r w:rsidRPr="009C6B05">
        <w:rPr>
          <w:rFonts w:cstheme="minorHAnsi"/>
        </w:rPr>
        <w:t>The ADGSM’s underlying principles aim at:</w:t>
      </w:r>
    </w:p>
    <w:p w14:paraId="4946D577" w14:textId="77777777" w:rsidR="009C6B05" w:rsidRPr="009C6B05" w:rsidRDefault="009C6B05" w:rsidP="008D1C70">
      <w:pPr>
        <w:pStyle w:val="ListParagraph"/>
        <w:numPr>
          <w:ilvl w:val="0"/>
          <w:numId w:val="1"/>
        </w:numPr>
        <w:spacing w:after="160" w:line="259" w:lineRule="auto"/>
        <w:jc w:val="both"/>
        <w:rPr>
          <w:rFonts w:asciiTheme="minorHAnsi" w:hAnsiTheme="minorHAnsi" w:cstheme="minorHAnsi"/>
          <w:sz w:val="22"/>
          <w:szCs w:val="22"/>
        </w:rPr>
      </w:pPr>
      <w:r w:rsidRPr="009C6B05">
        <w:rPr>
          <w:rFonts w:asciiTheme="minorHAnsi" w:hAnsiTheme="minorHAnsi" w:cstheme="minorHAnsi"/>
          <w:sz w:val="22"/>
          <w:szCs w:val="22"/>
        </w:rPr>
        <w:t>Ensuring sufficient supply of gas to the domestic market to support manufacturing and energy security.</w:t>
      </w:r>
    </w:p>
    <w:p w14:paraId="3D78195C" w14:textId="77777777" w:rsidR="009C6B05" w:rsidRPr="009C6B05" w:rsidRDefault="009C6B05" w:rsidP="008D1C70">
      <w:pPr>
        <w:pStyle w:val="ListParagraph"/>
        <w:numPr>
          <w:ilvl w:val="0"/>
          <w:numId w:val="1"/>
        </w:numPr>
        <w:spacing w:after="160" w:line="259" w:lineRule="auto"/>
        <w:jc w:val="both"/>
        <w:rPr>
          <w:rFonts w:asciiTheme="minorHAnsi" w:hAnsiTheme="minorHAnsi" w:cstheme="minorHAnsi"/>
          <w:sz w:val="22"/>
          <w:szCs w:val="22"/>
        </w:rPr>
      </w:pPr>
      <w:r w:rsidRPr="009C6B05">
        <w:rPr>
          <w:rFonts w:asciiTheme="minorHAnsi" w:hAnsiTheme="minorHAnsi" w:cstheme="minorHAnsi"/>
          <w:sz w:val="22"/>
          <w:szCs w:val="22"/>
        </w:rPr>
        <w:t>Putting downward pressure on domestic gas prices.</w:t>
      </w:r>
    </w:p>
    <w:p w14:paraId="4371C42D" w14:textId="77777777" w:rsidR="009C6B05" w:rsidRPr="009C6B05" w:rsidRDefault="009C6B05" w:rsidP="008D1C70">
      <w:pPr>
        <w:pStyle w:val="ListParagraph"/>
        <w:numPr>
          <w:ilvl w:val="0"/>
          <w:numId w:val="1"/>
        </w:numPr>
        <w:spacing w:after="160" w:line="259" w:lineRule="auto"/>
        <w:jc w:val="both"/>
        <w:rPr>
          <w:rFonts w:asciiTheme="minorHAnsi" w:hAnsiTheme="minorHAnsi" w:cstheme="minorHAnsi"/>
          <w:sz w:val="22"/>
          <w:szCs w:val="22"/>
        </w:rPr>
      </w:pPr>
      <w:r w:rsidRPr="009C6B05">
        <w:rPr>
          <w:rFonts w:asciiTheme="minorHAnsi" w:hAnsiTheme="minorHAnsi" w:cstheme="minorHAnsi"/>
          <w:sz w:val="22"/>
          <w:szCs w:val="22"/>
        </w:rPr>
        <w:t>Maintaining Australia’s position as a leading contributor to global energy security.</w:t>
      </w:r>
    </w:p>
    <w:p w14:paraId="7E7FBF72" w14:textId="77777777" w:rsidR="009C6B05" w:rsidRPr="009C6B05" w:rsidRDefault="009C6B05" w:rsidP="008D1C70">
      <w:pPr>
        <w:pStyle w:val="ListParagraph"/>
        <w:numPr>
          <w:ilvl w:val="0"/>
          <w:numId w:val="1"/>
        </w:numPr>
        <w:spacing w:after="160" w:line="259" w:lineRule="auto"/>
        <w:jc w:val="both"/>
        <w:rPr>
          <w:rFonts w:asciiTheme="minorHAnsi" w:hAnsiTheme="minorHAnsi" w:cstheme="minorHAnsi"/>
          <w:sz w:val="22"/>
          <w:szCs w:val="22"/>
        </w:rPr>
      </w:pPr>
      <w:r w:rsidRPr="009C6B05">
        <w:rPr>
          <w:rFonts w:asciiTheme="minorHAnsi" w:hAnsiTheme="minorHAnsi" w:cstheme="minorHAnsi"/>
          <w:sz w:val="22"/>
          <w:szCs w:val="22"/>
        </w:rPr>
        <w:t>Respecting the trust trading partners and international investors have shown in Australia’s resources and energy sectors.</w:t>
      </w:r>
    </w:p>
    <w:p w14:paraId="05E07519" w14:textId="77777777" w:rsidR="009C6B05" w:rsidRPr="009C6B05" w:rsidRDefault="009C6B05" w:rsidP="008D1C70">
      <w:pPr>
        <w:pStyle w:val="ListParagraph"/>
        <w:numPr>
          <w:ilvl w:val="0"/>
          <w:numId w:val="1"/>
        </w:numPr>
        <w:spacing w:after="160" w:line="259" w:lineRule="auto"/>
        <w:jc w:val="both"/>
        <w:rPr>
          <w:rFonts w:asciiTheme="minorHAnsi" w:hAnsiTheme="minorHAnsi" w:cstheme="minorHAnsi"/>
          <w:sz w:val="22"/>
          <w:szCs w:val="22"/>
        </w:rPr>
      </w:pPr>
      <w:r w:rsidRPr="009C6B05">
        <w:rPr>
          <w:rFonts w:asciiTheme="minorHAnsi" w:hAnsiTheme="minorHAnsi" w:cstheme="minorHAnsi"/>
          <w:sz w:val="22"/>
          <w:szCs w:val="22"/>
        </w:rPr>
        <w:t>Supporting the energy transition in line with climate action goals.</w:t>
      </w:r>
    </w:p>
    <w:p w14:paraId="0EF8FD27" w14:textId="77777777" w:rsidR="009C6B05" w:rsidRPr="009C6B05" w:rsidRDefault="009C6B05" w:rsidP="008D1C70">
      <w:pPr>
        <w:pStyle w:val="ListParagraph"/>
        <w:numPr>
          <w:ilvl w:val="0"/>
          <w:numId w:val="1"/>
        </w:numPr>
        <w:spacing w:after="160" w:line="259" w:lineRule="auto"/>
        <w:jc w:val="both"/>
        <w:rPr>
          <w:rFonts w:asciiTheme="minorHAnsi" w:hAnsiTheme="minorHAnsi" w:cstheme="minorHAnsi"/>
          <w:sz w:val="22"/>
          <w:szCs w:val="22"/>
        </w:rPr>
      </w:pPr>
      <w:r w:rsidRPr="009C6B05">
        <w:rPr>
          <w:rFonts w:asciiTheme="minorHAnsi" w:hAnsiTheme="minorHAnsi" w:cstheme="minorHAnsi"/>
          <w:sz w:val="22"/>
          <w:szCs w:val="22"/>
        </w:rPr>
        <w:t>Enhancing transparency and processes that support competitive pricing outcomes for gas consumers.</w:t>
      </w:r>
    </w:p>
    <w:p w14:paraId="01147612" w14:textId="77777777" w:rsidR="009C6B05" w:rsidRPr="009C6B05" w:rsidRDefault="009C6B05" w:rsidP="008D1C70">
      <w:pPr>
        <w:pStyle w:val="ListParagraph"/>
        <w:numPr>
          <w:ilvl w:val="0"/>
          <w:numId w:val="1"/>
        </w:numPr>
        <w:spacing w:after="160" w:line="259" w:lineRule="auto"/>
        <w:jc w:val="both"/>
        <w:rPr>
          <w:rFonts w:asciiTheme="minorHAnsi" w:hAnsiTheme="minorHAnsi" w:cstheme="minorHAnsi"/>
          <w:sz w:val="22"/>
          <w:szCs w:val="22"/>
        </w:rPr>
      </w:pPr>
      <w:r w:rsidRPr="009C6B05">
        <w:rPr>
          <w:rFonts w:asciiTheme="minorHAnsi" w:hAnsiTheme="minorHAnsi" w:cstheme="minorHAnsi"/>
          <w:sz w:val="22"/>
          <w:szCs w:val="22"/>
        </w:rPr>
        <w:t>Minimising implementation cost and complexity for government and industry.</w:t>
      </w:r>
    </w:p>
    <w:p w14:paraId="09024D29" w14:textId="77777777" w:rsidR="009C6B05" w:rsidRDefault="009C6B05" w:rsidP="008D1C70">
      <w:pPr>
        <w:jc w:val="both"/>
      </w:pPr>
      <w:r>
        <w:lastRenderedPageBreak/>
        <w:t xml:space="preserve">The DomGas Alliance has long promoted and worked with the WA State Government to ensure similar principles apply within the framework of the Domestic Gas Policy in Western Australia. </w:t>
      </w:r>
    </w:p>
    <w:p w14:paraId="3856CF59" w14:textId="556DCB0D" w:rsidR="009C6B05" w:rsidRDefault="009C6B05" w:rsidP="008D1C70">
      <w:pPr>
        <w:jc w:val="both"/>
      </w:pPr>
      <w:bookmarkStart w:id="1" w:name="_Hlk114646694"/>
      <w:r>
        <w:t xml:space="preserve">The Domestic Market Obligation </w:t>
      </w:r>
      <w:bookmarkEnd w:id="1"/>
      <w:r>
        <w:t xml:space="preserve">(DMO) principles </w:t>
      </w:r>
      <w:r w:rsidR="005E6888">
        <w:t>are translated</w:t>
      </w:r>
      <w:r>
        <w:t xml:space="preserve"> into State Agreements with the commitment holders requiring them to set aside 15 per cent of LNG sales for the domestic market, as well as to build, operate and maintain domestic gas production capacity which allows the delivery of these obligations, and to market gas in good faith. </w:t>
      </w:r>
    </w:p>
    <w:p w14:paraId="755D6A2D" w14:textId="77777777" w:rsidR="009C6B05" w:rsidRDefault="009C6B05" w:rsidP="008D1C70">
      <w:pPr>
        <w:jc w:val="both"/>
      </w:pPr>
      <w:r>
        <w:t xml:space="preserve">More recently, the Alliance acknowledges the State Government’s effort to increase the transparency of the Domestic Market Obligations. This will not only achieve higher market efficiency but will improve the visibility of all stakeholders to the WA domestic gas market, including government bodies and the market operator, </w:t>
      </w:r>
      <w:r w:rsidRPr="00AB35B1">
        <w:t xml:space="preserve">Australian Energy Market Operator </w:t>
      </w:r>
      <w:r>
        <w:t>(AEMO).</w:t>
      </w:r>
    </w:p>
    <w:p w14:paraId="1BBF249B" w14:textId="77777777" w:rsidR="009C6B05" w:rsidRPr="009C6B05" w:rsidRDefault="009C6B05" w:rsidP="008D1C70">
      <w:pPr>
        <w:jc w:val="both"/>
        <w:rPr>
          <w:b/>
          <w:bCs/>
        </w:rPr>
      </w:pPr>
      <w:r w:rsidRPr="009C6B05">
        <w:rPr>
          <w:b/>
          <w:bCs/>
        </w:rPr>
        <w:t>Shortcomings of the Western Australian Domestic Gas Policy</w:t>
      </w:r>
    </w:p>
    <w:p w14:paraId="0EEC0349" w14:textId="7D79EF7E" w:rsidR="009C6B05" w:rsidRDefault="009C6B05" w:rsidP="008D1C70">
      <w:pPr>
        <w:jc w:val="both"/>
      </w:pPr>
      <w:r>
        <w:t xml:space="preserve">The Alliance is satisfied that the Domestic Gas Policy has delivered gas supply security to the State of Western Australia since 2012. </w:t>
      </w:r>
      <w:r w:rsidR="008466F0">
        <w:t>WA’s</w:t>
      </w:r>
      <w:r>
        <w:t xml:space="preserve"> Domestic Gas Policy provides long term supply security to the State by ensuring this ongoing obligation applies to LNG projects </w:t>
      </w:r>
      <w:r w:rsidR="008466F0">
        <w:t>which process their gas in</w:t>
      </w:r>
      <w:r>
        <w:t xml:space="preserve"> Western Australia. This is key to building trust with the LNG industry and providing long term visibility and security. There are currently seven operating agreements (</w:t>
      </w:r>
      <w:r w:rsidRPr="00665B5A">
        <w:t xml:space="preserve">Appendix </w:t>
      </w:r>
      <w:r w:rsidR="008D1C70" w:rsidRPr="00665B5A">
        <w:t>A</w:t>
      </w:r>
      <w:r w:rsidRPr="00665B5A">
        <w:t>).</w:t>
      </w:r>
      <w:r w:rsidR="005E6888">
        <w:t xml:space="preserve"> </w:t>
      </w:r>
    </w:p>
    <w:p w14:paraId="0F46CB1C" w14:textId="77777777" w:rsidR="009C6B05" w:rsidRDefault="009C6B05" w:rsidP="008D1C70">
      <w:pPr>
        <w:jc w:val="both"/>
      </w:pPr>
      <w:r>
        <w:t xml:space="preserve">However, </w:t>
      </w:r>
      <w:bookmarkStart w:id="2" w:name="_Hlk114646879"/>
      <w:r>
        <w:t xml:space="preserve">the terms of the current policy lack flexibility and enforceability to ensure it is used to address gas supply security concerns over shorter horizons. </w:t>
      </w:r>
      <w:bookmarkEnd w:id="2"/>
    </w:p>
    <w:p w14:paraId="29EA9E81" w14:textId="0BB7F299" w:rsidR="009C6B05" w:rsidRPr="00951DB5" w:rsidRDefault="009C6B05" w:rsidP="008D1C70">
      <w:pPr>
        <w:jc w:val="both"/>
      </w:pPr>
      <w:r>
        <w:t>For example, t</w:t>
      </w:r>
      <w:r w:rsidRPr="00951DB5">
        <w:t xml:space="preserve">o date, </w:t>
      </w:r>
      <w:r>
        <w:t xml:space="preserve">DMO gas under </w:t>
      </w:r>
      <w:r w:rsidRPr="00951DB5">
        <w:t>the Pluto Dom</w:t>
      </w:r>
      <w:r>
        <w:t>G</w:t>
      </w:r>
      <w:r w:rsidRPr="00951DB5">
        <w:t>as Arrangements ha</w:t>
      </w:r>
      <w:r>
        <w:t>s</w:t>
      </w:r>
      <w:r w:rsidRPr="00951DB5">
        <w:t xml:space="preserve"> been delivered to the market at a fraction of the initial obligation and the </w:t>
      </w:r>
      <w:r>
        <w:t>AEMO’s 20</w:t>
      </w:r>
      <w:r w:rsidRPr="00951DB5">
        <w:t>2</w:t>
      </w:r>
      <w:r w:rsidR="008466F0">
        <w:t>2</w:t>
      </w:r>
      <w:r w:rsidRPr="00951DB5">
        <w:t xml:space="preserve"> </w:t>
      </w:r>
      <w:r>
        <w:t>Gas Statement of Opportunities</w:t>
      </w:r>
      <w:r w:rsidRPr="00951DB5">
        <w:t xml:space="preserve"> </w:t>
      </w:r>
      <w:r>
        <w:t>(</w:t>
      </w:r>
      <w:proofErr w:type="spellStart"/>
      <w:r w:rsidRPr="00951DB5">
        <w:t>GS</w:t>
      </w:r>
      <w:r>
        <w:t>o</w:t>
      </w:r>
      <w:r w:rsidRPr="00951DB5">
        <w:t>O</w:t>
      </w:r>
      <w:proofErr w:type="spellEnd"/>
      <w:r>
        <w:t>)</w:t>
      </w:r>
      <w:r w:rsidRPr="00951DB5">
        <w:t xml:space="preserve"> does not </w:t>
      </w:r>
      <w:r>
        <w:t>anticipate</w:t>
      </w:r>
      <w:r w:rsidRPr="00951DB5">
        <w:t xml:space="preserve"> any increase in the rate of delivery of this obligation in its forecast.</w:t>
      </w:r>
    </w:p>
    <w:p w14:paraId="28CF9095" w14:textId="2AE29D0B" w:rsidR="009C6B05" w:rsidRDefault="009C6B05" w:rsidP="008D1C70">
      <w:pPr>
        <w:jc w:val="both"/>
      </w:pPr>
      <w:r w:rsidRPr="00951DB5">
        <w:t xml:space="preserve">Equally, the </w:t>
      </w:r>
      <w:proofErr w:type="gramStart"/>
      <w:r w:rsidRPr="00D25009">
        <w:rPr>
          <w:i/>
          <w:iCs/>
        </w:rPr>
        <w:t>North West</w:t>
      </w:r>
      <w:proofErr w:type="gramEnd"/>
      <w:r w:rsidRPr="00D25009">
        <w:rPr>
          <w:i/>
          <w:iCs/>
        </w:rPr>
        <w:t xml:space="preserve"> Gas Development (Woodside) Agreement Amendment Act 2015</w:t>
      </w:r>
      <w:r w:rsidRPr="00951DB5">
        <w:t xml:space="preserve"> has been deliver</w:t>
      </w:r>
      <w:r>
        <w:t>ing</w:t>
      </w:r>
      <w:r w:rsidRPr="00951DB5">
        <w:t xml:space="preserve"> well below its expected rate and is </w:t>
      </w:r>
      <w:r>
        <w:t>forecast</w:t>
      </w:r>
      <w:r w:rsidRPr="00951DB5">
        <w:t xml:space="preserve"> to </w:t>
      </w:r>
      <w:r>
        <w:t>continue</w:t>
      </w:r>
      <w:r w:rsidRPr="00951DB5">
        <w:t xml:space="preserve"> </w:t>
      </w:r>
      <w:r>
        <w:t xml:space="preserve">to underdeliver in the </w:t>
      </w:r>
      <w:proofErr w:type="spellStart"/>
      <w:r>
        <w:t>GSoO</w:t>
      </w:r>
      <w:proofErr w:type="spellEnd"/>
      <w:r w:rsidRPr="00951DB5">
        <w:t>.</w:t>
      </w:r>
    </w:p>
    <w:p w14:paraId="52AF7115" w14:textId="71A0AF0D" w:rsidR="008466F0" w:rsidRDefault="008466F0" w:rsidP="008D1C70">
      <w:pPr>
        <w:jc w:val="both"/>
      </w:pPr>
      <w:r>
        <w:t xml:space="preserve">Other DMO suppliers, such as Chevron, have met - or are scheduled to meet - their commitments in full. </w:t>
      </w:r>
    </w:p>
    <w:p w14:paraId="3C68822E" w14:textId="59039A36" w:rsidR="008466F0" w:rsidRPr="00951DB5" w:rsidRDefault="008466F0" w:rsidP="008D1C70">
      <w:pPr>
        <w:jc w:val="both"/>
      </w:pPr>
      <w:r>
        <w:t xml:space="preserve">Nevertheless, there is no mechanism in place to </w:t>
      </w:r>
      <w:proofErr w:type="gramStart"/>
      <w:r>
        <w:t>make adjustments</w:t>
      </w:r>
      <w:proofErr w:type="gramEnd"/>
      <w:r>
        <w:t xml:space="preserve"> on deliveries in order to address shortfalls in the market.</w:t>
      </w:r>
    </w:p>
    <w:p w14:paraId="122CAECF" w14:textId="6723EBD5" w:rsidR="0099251B" w:rsidRDefault="009C6B05" w:rsidP="008D1C70">
      <w:pPr>
        <w:jc w:val="both"/>
      </w:pPr>
      <w:r>
        <w:rPr>
          <w:b/>
          <w:bCs/>
        </w:rPr>
        <w:t>Forecast Western Australian Gas Supply Shortfall</w:t>
      </w:r>
    </w:p>
    <w:p w14:paraId="261E1776" w14:textId="77777777" w:rsidR="00515ECF" w:rsidRDefault="00796BBA" w:rsidP="00515ECF">
      <w:pPr>
        <w:jc w:val="both"/>
      </w:pPr>
      <w:r>
        <w:t xml:space="preserve">AEMO has forecast a shortfall in the State’s gas supply in its December 2022 </w:t>
      </w:r>
      <w:proofErr w:type="spellStart"/>
      <w:r>
        <w:t>GSoO</w:t>
      </w:r>
      <w:proofErr w:type="spellEnd"/>
      <w:r>
        <w:t>. AEMO’s forecast signals a degradation of the gas supply security situation of the State with a predicted shortfall coming forward 4 years from AEMO’s prior forecast of a shortfall in 2028 (in its December 2020 report).</w:t>
      </w:r>
      <w:r w:rsidR="00515ECF">
        <w:t xml:space="preserve"> </w:t>
      </w:r>
      <w:r w:rsidR="00515ECF" w:rsidRPr="00515ECF">
        <w:t>The initial shortfall goes to 2026, peaking at about 50TJ/d in 2024, and later in the decade there is a very large deficit from 2030 onwards with shortfalls of nearly 300TJ/d, representing over 16% of demand each year.</w:t>
      </w:r>
    </w:p>
    <w:p w14:paraId="172AF249" w14:textId="1CA19356" w:rsidR="00796BBA" w:rsidRDefault="00796BBA" w:rsidP="008D1C70">
      <w:pPr>
        <w:jc w:val="both"/>
      </w:pPr>
      <w:r>
        <w:t xml:space="preserve">The shortfall </w:t>
      </w:r>
      <w:r w:rsidR="00AC3645">
        <w:t>is</w:t>
      </w:r>
      <w:r>
        <w:t xml:space="preserve"> caused by the combination of:</w:t>
      </w:r>
    </w:p>
    <w:p w14:paraId="1BA1E600" w14:textId="68746DDF" w:rsidR="00796BBA" w:rsidRPr="00796BBA" w:rsidRDefault="00796BBA" w:rsidP="008D1C70">
      <w:pPr>
        <w:pStyle w:val="ListParagraph"/>
        <w:numPr>
          <w:ilvl w:val="0"/>
          <w:numId w:val="2"/>
        </w:numPr>
        <w:spacing w:after="160" w:line="259" w:lineRule="auto"/>
        <w:jc w:val="both"/>
        <w:rPr>
          <w:rFonts w:asciiTheme="minorHAnsi" w:hAnsiTheme="minorHAnsi" w:cstheme="minorHAnsi"/>
          <w:sz w:val="22"/>
          <w:szCs w:val="28"/>
        </w:rPr>
      </w:pPr>
      <w:r>
        <w:rPr>
          <w:rFonts w:asciiTheme="minorHAnsi" w:hAnsiTheme="minorHAnsi" w:cstheme="minorHAnsi"/>
          <w:sz w:val="22"/>
          <w:szCs w:val="28"/>
        </w:rPr>
        <w:t>D</w:t>
      </w:r>
      <w:r w:rsidRPr="00796BBA">
        <w:rPr>
          <w:rFonts w:asciiTheme="minorHAnsi" w:hAnsiTheme="minorHAnsi" w:cstheme="minorHAnsi"/>
          <w:sz w:val="22"/>
          <w:szCs w:val="28"/>
        </w:rPr>
        <w:t xml:space="preserve">elays in sanctioning of new LNG projects which would have otherwise provided new volumes of DMO gas into the </w:t>
      </w:r>
      <w:r w:rsidR="00157647" w:rsidRPr="00796BBA">
        <w:rPr>
          <w:rFonts w:asciiTheme="minorHAnsi" w:hAnsiTheme="minorHAnsi" w:cstheme="minorHAnsi"/>
          <w:sz w:val="22"/>
          <w:szCs w:val="28"/>
        </w:rPr>
        <w:t>market.</w:t>
      </w:r>
    </w:p>
    <w:p w14:paraId="2D0156AF" w14:textId="36C23738" w:rsidR="00796BBA" w:rsidRPr="00F03CC5" w:rsidRDefault="00796BBA" w:rsidP="008D1C70">
      <w:pPr>
        <w:pStyle w:val="ListParagraph"/>
        <w:numPr>
          <w:ilvl w:val="0"/>
          <w:numId w:val="2"/>
        </w:numPr>
        <w:spacing w:after="160" w:line="259" w:lineRule="auto"/>
        <w:jc w:val="both"/>
        <w:rPr>
          <w:rFonts w:asciiTheme="minorHAnsi" w:hAnsiTheme="minorHAnsi" w:cstheme="minorHAnsi"/>
          <w:sz w:val="22"/>
          <w:szCs w:val="28"/>
        </w:rPr>
      </w:pPr>
      <w:r w:rsidRPr="00F03CC5">
        <w:rPr>
          <w:rFonts w:asciiTheme="minorHAnsi" w:hAnsiTheme="minorHAnsi" w:cstheme="minorHAnsi"/>
          <w:sz w:val="22"/>
          <w:szCs w:val="28"/>
        </w:rPr>
        <w:t xml:space="preserve">Degradation in the outlook of existing gas producing assets, namely the Reindeer and Macedon </w:t>
      </w:r>
      <w:r w:rsidR="007511B2" w:rsidRPr="00F03CC5">
        <w:rPr>
          <w:rFonts w:asciiTheme="minorHAnsi" w:hAnsiTheme="minorHAnsi" w:cstheme="minorHAnsi"/>
          <w:sz w:val="22"/>
          <w:szCs w:val="28"/>
        </w:rPr>
        <w:t>fields.</w:t>
      </w:r>
    </w:p>
    <w:p w14:paraId="27673265" w14:textId="00C1C3A7" w:rsidR="00796BBA" w:rsidRPr="00796BBA" w:rsidRDefault="00796BBA" w:rsidP="008D1C70">
      <w:pPr>
        <w:pStyle w:val="ListParagraph"/>
        <w:numPr>
          <w:ilvl w:val="0"/>
          <w:numId w:val="2"/>
        </w:numPr>
        <w:spacing w:after="160" w:line="259" w:lineRule="auto"/>
        <w:jc w:val="both"/>
        <w:rPr>
          <w:rFonts w:asciiTheme="minorHAnsi" w:hAnsiTheme="minorHAnsi" w:cstheme="minorHAnsi"/>
          <w:sz w:val="22"/>
          <w:szCs w:val="28"/>
        </w:rPr>
      </w:pPr>
      <w:r>
        <w:rPr>
          <w:rFonts w:asciiTheme="minorHAnsi" w:hAnsiTheme="minorHAnsi" w:cstheme="minorHAnsi"/>
          <w:sz w:val="22"/>
          <w:szCs w:val="28"/>
        </w:rPr>
        <w:t>D</w:t>
      </w:r>
      <w:r w:rsidRPr="00796BBA">
        <w:rPr>
          <w:rFonts w:asciiTheme="minorHAnsi" w:hAnsiTheme="minorHAnsi" w:cstheme="minorHAnsi"/>
          <w:sz w:val="22"/>
          <w:szCs w:val="28"/>
        </w:rPr>
        <w:t xml:space="preserve">elays in the commissioning of new gas projects in the Perth </w:t>
      </w:r>
      <w:r w:rsidR="007511B2" w:rsidRPr="00796BBA">
        <w:rPr>
          <w:rFonts w:asciiTheme="minorHAnsi" w:hAnsiTheme="minorHAnsi" w:cstheme="minorHAnsi"/>
          <w:sz w:val="22"/>
          <w:szCs w:val="28"/>
        </w:rPr>
        <w:t>Basin.</w:t>
      </w:r>
      <w:r w:rsidRPr="00796BBA">
        <w:rPr>
          <w:rFonts w:asciiTheme="minorHAnsi" w:hAnsiTheme="minorHAnsi" w:cstheme="minorHAnsi"/>
          <w:sz w:val="22"/>
          <w:szCs w:val="28"/>
        </w:rPr>
        <w:t xml:space="preserve"> </w:t>
      </w:r>
    </w:p>
    <w:p w14:paraId="3D0516B9" w14:textId="2DD354DA" w:rsidR="00796BBA" w:rsidRPr="00796BBA" w:rsidRDefault="00796BBA" w:rsidP="008D1C70">
      <w:pPr>
        <w:pStyle w:val="ListParagraph"/>
        <w:numPr>
          <w:ilvl w:val="0"/>
          <w:numId w:val="2"/>
        </w:numPr>
        <w:spacing w:after="160" w:line="259" w:lineRule="auto"/>
        <w:jc w:val="both"/>
        <w:rPr>
          <w:rFonts w:asciiTheme="minorHAnsi" w:hAnsiTheme="minorHAnsi" w:cstheme="minorHAnsi"/>
          <w:sz w:val="22"/>
          <w:szCs w:val="28"/>
        </w:rPr>
      </w:pPr>
      <w:r>
        <w:rPr>
          <w:rFonts w:asciiTheme="minorHAnsi" w:hAnsiTheme="minorHAnsi" w:cstheme="minorHAnsi"/>
          <w:sz w:val="22"/>
          <w:szCs w:val="28"/>
        </w:rPr>
        <w:t>I</w:t>
      </w:r>
      <w:r w:rsidRPr="00796BBA">
        <w:rPr>
          <w:rFonts w:asciiTheme="minorHAnsi" w:hAnsiTheme="minorHAnsi" w:cstheme="minorHAnsi"/>
          <w:sz w:val="22"/>
          <w:szCs w:val="28"/>
        </w:rPr>
        <w:t>ncreased mining activity fuelling growth in gas demand</w:t>
      </w:r>
      <w:r w:rsidR="00157647">
        <w:rPr>
          <w:rFonts w:asciiTheme="minorHAnsi" w:hAnsiTheme="minorHAnsi" w:cstheme="minorHAnsi"/>
          <w:sz w:val="22"/>
          <w:szCs w:val="28"/>
        </w:rPr>
        <w:t>.</w:t>
      </w:r>
    </w:p>
    <w:p w14:paraId="07457C5F" w14:textId="11C2D369" w:rsidR="00796BBA" w:rsidRPr="00796BBA" w:rsidRDefault="00796BBA" w:rsidP="008D1C70">
      <w:pPr>
        <w:pStyle w:val="ListParagraph"/>
        <w:numPr>
          <w:ilvl w:val="0"/>
          <w:numId w:val="2"/>
        </w:numPr>
        <w:spacing w:after="160" w:line="259" w:lineRule="auto"/>
        <w:jc w:val="both"/>
        <w:rPr>
          <w:rFonts w:asciiTheme="minorHAnsi" w:hAnsiTheme="minorHAnsi" w:cstheme="minorHAnsi"/>
          <w:sz w:val="22"/>
          <w:szCs w:val="28"/>
        </w:rPr>
      </w:pPr>
      <w:r>
        <w:rPr>
          <w:rFonts w:asciiTheme="minorHAnsi" w:hAnsiTheme="minorHAnsi" w:cstheme="minorHAnsi"/>
          <w:sz w:val="22"/>
          <w:szCs w:val="28"/>
        </w:rPr>
        <w:lastRenderedPageBreak/>
        <w:t>G</w:t>
      </w:r>
      <w:r w:rsidRPr="00796BBA">
        <w:rPr>
          <w:rFonts w:asciiTheme="minorHAnsi" w:hAnsiTheme="minorHAnsi" w:cstheme="minorHAnsi"/>
          <w:sz w:val="22"/>
          <w:szCs w:val="28"/>
        </w:rPr>
        <w:t xml:space="preserve">rowth in gas demand from gas-fired power generation as a result of the planned closure of coal fired generation in the </w:t>
      </w:r>
      <w:proofErr w:type="gramStart"/>
      <w:r w:rsidRPr="00796BBA">
        <w:rPr>
          <w:rFonts w:asciiTheme="minorHAnsi" w:hAnsiTheme="minorHAnsi" w:cstheme="minorHAnsi"/>
          <w:sz w:val="22"/>
          <w:szCs w:val="28"/>
        </w:rPr>
        <w:t>South West</w:t>
      </w:r>
      <w:proofErr w:type="gramEnd"/>
      <w:r w:rsidRPr="00796BBA">
        <w:rPr>
          <w:rFonts w:asciiTheme="minorHAnsi" w:hAnsiTheme="minorHAnsi" w:cstheme="minorHAnsi"/>
          <w:sz w:val="22"/>
          <w:szCs w:val="28"/>
        </w:rPr>
        <w:t xml:space="preserve"> Interconnected System.</w:t>
      </w:r>
    </w:p>
    <w:p w14:paraId="0FC0EEBA" w14:textId="7D9DFADE" w:rsidR="00796BBA" w:rsidRDefault="00796BBA" w:rsidP="008D1C70">
      <w:pPr>
        <w:jc w:val="both"/>
      </w:pPr>
      <w:r>
        <w:t>The domestic supply balance is forecast to improve from 2028-29 onwards as the State is expecting to receive further domestic gas supply from the Waitsia and Scarborough gas projects.</w:t>
      </w:r>
    </w:p>
    <w:p w14:paraId="30AE126E" w14:textId="25837406" w:rsidR="00AC3645" w:rsidRDefault="00AC3645" w:rsidP="008D1C70">
      <w:pPr>
        <w:jc w:val="both"/>
      </w:pPr>
      <w:r>
        <w:t xml:space="preserve">However, in the next decade, there will be an even greater shortfall in supply of up to 300TJ/d resulting from increased use of gas to displace coal fired generation, as well as supply issues as </w:t>
      </w:r>
      <w:r w:rsidR="00157647">
        <w:t>long-term</w:t>
      </w:r>
      <w:r>
        <w:t xml:space="preserve"> domestic gas reserves are further depleted.</w:t>
      </w:r>
    </w:p>
    <w:p w14:paraId="2B96C3D3" w14:textId="441DEAAD" w:rsidR="00796BBA" w:rsidRDefault="00796BBA" w:rsidP="008D1C70">
      <w:pPr>
        <w:jc w:val="both"/>
      </w:pPr>
      <w:r>
        <w:t xml:space="preserve">The Alliance notes that the current </w:t>
      </w:r>
      <w:r w:rsidR="009F3A75">
        <w:t xml:space="preserve">WA </w:t>
      </w:r>
      <w:r>
        <w:t>Domestic Gas Policy does not have a tool to address short term gas supply shortfalls such as these, and to date, there has been no policy response from the current State Government.</w:t>
      </w:r>
    </w:p>
    <w:p w14:paraId="72F998C7" w14:textId="474F701C" w:rsidR="00AE2744" w:rsidRPr="00AE2744" w:rsidRDefault="00AE2744" w:rsidP="008D1C70">
      <w:pPr>
        <w:jc w:val="both"/>
        <w:rPr>
          <w:b/>
          <w:bCs/>
        </w:rPr>
      </w:pPr>
      <w:r>
        <w:rPr>
          <w:b/>
          <w:bCs/>
        </w:rPr>
        <w:t>General comments on the ADGSM</w:t>
      </w:r>
    </w:p>
    <w:p w14:paraId="4839952D" w14:textId="1F1F7A8F" w:rsidR="00DE7EA1" w:rsidRDefault="005655BC" w:rsidP="008D1C70">
      <w:pPr>
        <w:jc w:val="both"/>
      </w:pPr>
      <w:r>
        <w:t xml:space="preserve">The </w:t>
      </w:r>
      <w:r w:rsidR="005E6888">
        <w:t>p</w:t>
      </w:r>
      <w:r>
        <w:t xml:space="preserve">roposed </w:t>
      </w:r>
      <w:r w:rsidR="005E6888">
        <w:t>g</w:t>
      </w:r>
      <w:r>
        <w:t xml:space="preserve">uidelines of the ADGSM increase the prioritisation of gas supply to the domestic gas market over the international LNG market where these two may be arbitraged by LNG exporters. </w:t>
      </w:r>
      <w:r w:rsidR="00C21E83">
        <w:t xml:space="preserve">In other words, where LNG </w:t>
      </w:r>
      <w:r w:rsidR="005E6888">
        <w:t>producers</w:t>
      </w:r>
      <w:r w:rsidR="00C21E83">
        <w:t xml:space="preserve"> prioritise exports to the detriment of the domestic market supply</w:t>
      </w:r>
      <w:r w:rsidR="00453D34">
        <w:t xml:space="preserve">, the </w:t>
      </w:r>
      <w:r w:rsidR="00BC5558">
        <w:t>g</w:t>
      </w:r>
      <w:r w:rsidR="00453D34">
        <w:t xml:space="preserve">uidelines can </w:t>
      </w:r>
      <w:r w:rsidR="00B86C38">
        <w:t>take effect.</w:t>
      </w:r>
    </w:p>
    <w:p w14:paraId="6518DB48" w14:textId="304E4029" w:rsidR="00B86C38" w:rsidRDefault="00B86C38" w:rsidP="008D1C70">
      <w:pPr>
        <w:jc w:val="both"/>
      </w:pPr>
      <w:r>
        <w:t xml:space="preserve">This </w:t>
      </w:r>
      <w:r w:rsidR="00557D7F">
        <w:t xml:space="preserve">arbitrage behaviour </w:t>
      </w:r>
      <w:r>
        <w:t>is evident in both WA and the east coast gas markets.</w:t>
      </w:r>
      <w:r w:rsidR="00585A1C">
        <w:t xml:space="preserve"> Indeed, at a recent presentation </w:t>
      </w:r>
      <w:r w:rsidR="009C6026">
        <w:t>to</w:t>
      </w:r>
      <w:r w:rsidR="00585A1C">
        <w:t xml:space="preserve"> the WA Gas Consultation Forum, </w:t>
      </w:r>
      <w:r w:rsidR="009C6026">
        <w:t>AEMO noted t</w:t>
      </w:r>
      <w:r w:rsidR="00694E14">
        <w:t xml:space="preserve">hat during the recent gas emergency in January 2023 caused by </w:t>
      </w:r>
      <w:r w:rsidR="000E5124">
        <w:t xml:space="preserve">an unplanned outage of the </w:t>
      </w:r>
      <w:r w:rsidR="00C877A4">
        <w:t>Wheatstone</w:t>
      </w:r>
      <w:r w:rsidR="000E5124">
        <w:t xml:space="preserve"> facility</w:t>
      </w:r>
      <w:r w:rsidR="00C877A4">
        <w:t xml:space="preserve"> (</w:t>
      </w:r>
      <w:r w:rsidR="006D5181">
        <w:t>at a time when</w:t>
      </w:r>
      <w:r w:rsidR="00C877A4">
        <w:t xml:space="preserve"> the</w:t>
      </w:r>
      <w:r w:rsidR="00694E14">
        <w:t xml:space="preserve"> Varanus Island facility</w:t>
      </w:r>
      <w:r w:rsidR="00C877A4">
        <w:t xml:space="preserve"> was already </w:t>
      </w:r>
      <w:r w:rsidR="006D5181">
        <w:t>constrained)</w:t>
      </w:r>
      <w:r w:rsidR="00694E14">
        <w:t>, while other LNG exporters had prioriti</w:t>
      </w:r>
      <w:r w:rsidR="007B1B78">
        <w:t xml:space="preserve">sed supply to the domestic market where possible, </w:t>
      </w:r>
      <w:r w:rsidR="00427DB1">
        <w:t xml:space="preserve">the Karratha Gas Plant </w:t>
      </w:r>
      <w:r w:rsidR="006F24E0">
        <w:t xml:space="preserve">only increased production for </w:t>
      </w:r>
      <w:r w:rsidR="00076CB7">
        <w:t>a short time “due to its LNG commitments”.</w:t>
      </w:r>
    </w:p>
    <w:p w14:paraId="63908756" w14:textId="313B2800" w:rsidR="005655BC" w:rsidRDefault="00E0418F" w:rsidP="008D1C70">
      <w:pPr>
        <w:jc w:val="both"/>
      </w:pPr>
      <w:r>
        <w:t xml:space="preserve">Under the proposed </w:t>
      </w:r>
      <w:r w:rsidR="002807CC">
        <w:t>guidelines, t</w:t>
      </w:r>
      <w:r w:rsidR="005655BC">
        <w:t>h</w:t>
      </w:r>
      <w:r>
        <w:t>e</w:t>
      </w:r>
      <w:r w:rsidR="005655BC">
        <w:t xml:space="preserve"> concept </w:t>
      </w:r>
      <w:r>
        <w:t>of regulating</w:t>
      </w:r>
      <w:r w:rsidR="005655BC">
        <w:t xml:space="preserve"> the domestic gas market through gas supply </w:t>
      </w:r>
      <w:r w:rsidR="002807CC">
        <w:t>rather than by pricing regulation</w:t>
      </w:r>
      <w:r w:rsidR="00A9381B">
        <w:t>, is certainly preferred.</w:t>
      </w:r>
      <w:r w:rsidR="005655BC">
        <w:t xml:space="preserve"> Its efficiency relies on enforcement</w:t>
      </w:r>
      <w:r w:rsidR="00A9381B">
        <w:t xml:space="preserve"> -</w:t>
      </w:r>
      <w:r w:rsidR="005655BC">
        <w:t xml:space="preserve"> the gas supply reserved for the domestic market under the ADGSM is not subsequently saleable as LNG.</w:t>
      </w:r>
    </w:p>
    <w:p w14:paraId="445D8A5C" w14:textId="1BF22375" w:rsidR="00DE567A" w:rsidRPr="00DE567A" w:rsidRDefault="00DE567A" w:rsidP="008D1C70">
      <w:pPr>
        <w:spacing w:line="240" w:lineRule="auto"/>
        <w:jc w:val="both"/>
        <w:rPr>
          <w:b/>
          <w:bCs/>
        </w:rPr>
      </w:pPr>
      <w:r>
        <w:rPr>
          <w:b/>
          <w:bCs/>
        </w:rPr>
        <w:t>Specific comments</w:t>
      </w:r>
    </w:p>
    <w:p w14:paraId="271F2175" w14:textId="77777777" w:rsidR="008059F7" w:rsidRDefault="005655BC" w:rsidP="008D1C70">
      <w:pPr>
        <w:pStyle w:val="ListParagraph"/>
        <w:spacing w:line="240" w:lineRule="auto"/>
        <w:ind w:left="0"/>
        <w:jc w:val="both"/>
        <w:rPr>
          <w:rFonts w:asciiTheme="minorHAnsi" w:hAnsiTheme="minorHAnsi" w:cstheme="minorHAnsi"/>
          <w:sz w:val="22"/>
          <w:szCs w:val="22"/>
        </w:rPr>
      </w:pPr>
      <w:r w:rsidRPr="00426277">
        <w:rPr>
          <w:rFonts w:asciiTheme="minorHAnsi" w:hAnsiTheme="minorHAnsi" w:cstheme="minorHAnsi"/>
          <w:sz w:val="22"/>
          <w:szCs w:val="22"/>
        </w:rPr>
        <w:t xml:space="preserve">It is unclear whether the Customs Act year ahead determination of a shortfall year in any domestic gas market remains applicable. </w:t>
      </w:r>
    </w:p>
    <w:p w14:paraId="4721DFCD" w14:textId="77777777" w:rsidR="008059F7" w:rsidRDefault="008059F7" w:rsidP="008D1C70">
      <w:pPr>
        <w:pStyle w:val="ListParagraph"/>
        <w:spacing w:line="240" w:lineRule="auto"/>
        <w:ind w:left="0"/>
        <w:jc w:val="both"/>
        <w:rPr>
          <w:rFonts w:asciiTheme="minorHAnsi" w:hAnsiTheme="minorHAnsi" w:cstheme="minorHAnsi"/>
          <w:sz w:val="22"/>
          <w:szCs w:val="22"/>
        </w:rPr>
      </w:pPr>
    </w:p>
    <w:p w14:paraId="18C6CB91" w14:textId="7A351172" w:rsidR="007634C4" w:rsidRDefault="008059F7" w:rsidP="008D1C70">
      <w:pPr>
        <w:pStyle w:val="ListParagraph"/>
        <w:spacing w:line="240" w:lineRule="auto"/>
        <w:ind w:left="0"/>
        <w:jc w:val="both"/>
        <w:rPr>
          <w:rFonts w:asciiTheme="minorHAnsi" w:hAnsiTheme="minorHAnsi" w:cstheme="minorHAnsi"/>
          <w:sz w:val="22"/>
          <w:szCs w:val="22"/>
        </w:rPr>
      </w:pPr>
      <w:r>
        <w:rPr>
          <w:rFonts w:asciiTheme="minorHAnsi" w:hAnsiTheme="minorHAnsi" w:cstheme="minorHAnsi"/>
          <w:sz w:val="22"/>
          <w:szCs w:val="22"/>
        </w:rPr>
        <w:t xml:space="preserve">It is preferable </w:t>
      </w:r>
      <w:r w:rsidR="005655BC" w:rsidRPr="00426277">
        <w:rPr>
          <w:rFonts w:asciiTheme="minorHAnsi" w:hAnsiTheme="minorHAnsi" w:cstheme="minorHAnsi"/>
          <w:sz w:val="22"/>
          <w:szCs w:val="22"/>
        </w:rPr>
        <w:t xml:space="preserve">that an annual prohibition mechanism should remain, and that there is only quarterly intervention in peak, unexpected or emergency circumstances. </w:t>
      </w:r>
    </w:p>
    <w:p w14:paraId="44664E98" w14:textId="77777777" w:rsidR="007634C4" w:rsidRDefault="007634C4" w:rsidP="008D1C70">
      <w:pPr>
        <w:pStyle w:val="ListParagraph"/>
        <w:spacing w:line="240" w:lineRule="auto"/>
        <w:ind w:left="0"/>
        <w:jc w:val="both"/>
        <w:rPr>
          <w:rFonts w:asciiTheme="minorHAnsi" w:hAnsiTheme="minorHAnsi" w:cstheme="minorHAnsi"/>
          <w:sz w:val="22"/>
          <w:szCs w:val="22"/>
        </w:rPr>
      </w:pPr>
    </w:p>
    <w:p w14:paraId="5AB9BB81" w14:textId="60EB4C5B" w:rsidR="008A2FBF" w:rsidRPr="00426277" w:rsidRDefault="005655BC" w:rsidP="008D1C70">
      <w:pPr>
        <w:pStyle w:val="ListParagraph"/>
        <w:spacing w:line="240" w:lineRule="auto"/>
        <w:ind w:left="0"/>
        <w:jc w:val="both"/>
        <w:rPr>
          <w:rFonts w:asciiTheme="minorHAnsi" w:hAnsiTheme="minorHAnsi" w:cstheme="minorHAnsi"/>
          <w:sz w:val="22"/>
          <w:szCs w:val="22"/>
        </w:rPr>
      </w:pPr>
      <w:r w:rsidRPr="00426277">
        <w:rPr>
          <w:rFonts w:asciiTheme="minorHAnsi" w:hAnsiTheme="minorHAnsi" w:cstheme="minorHAnsi"/>
          <w:sz w:val="22"/>
          <w:szCs w:val="22"/>
        </w:rPr>
        <w:t>Australian gas buyers and sellers will generally trade on an annual (or longer) basis because of their need for gas supply certainty, gas retailers’ need to adequately respond to gas customer needs (1 to 3 years ahead) and the time that is required for negotiation and contract execution. It is also likely to cause uncertainty for LNG exporters</w:t>
      </w:r>
      <w:r w:rsidR="005E6888">
        <w:rPr>
          <w:rFonts w:asciiTheme="minorHAnsi" w:hAnsiTheme="minorHAnsi" w:cstheme="minorHAnsi"/>
          <w:sz w:val="22"/>
          <w:szCs w:val="22"/>
        </w:rPr>
        <w:t>’</w:t>
      </w:r>
      <w:r w:rsidRPr="00426277">
        <w:rPr>
          <w:rFonts w:asciiTheme="minorHAnsi" w:hAnsiTheme="minorHAnsi" w:cstheme="minorHAnsi"/>
          <w:sz w:val="22"/>
          <w:szCs w:val="22"/>
        </w:rPr>
        <w:t xml:space="preserve"> commercial operations. </w:t>
      </w:r>
    </w:p>
    <w:p w14:paraId="38FA7CCC" w14:textId="77777777" w:rsidR="005655BC" w:rsidRPr="00426277" w:rsidRDefault="005655BC" w:rsidP="008D1C70">
      <w:pPr>
        <w:pStyle w:val="ListParagraph"/>
        <w:spacing w:line="240" w:lineRule="auto"/>
        <w:ind w:left="0"/>
        <w:jc w:val="both"/>
        <w:rPr>
          <w:rFonts w:asciiTheme="minorHAnsi" w:hAnsiTheme="minorHAnsi" w:cstheme="minorHAnsi"/>
          <w:b/>
          <w:bCs/>
          <w:i/>
          <w:iCs/>
          <w:sz w:val="22"/>
          <w:szCs w:val="22"/>
        </w:rPr>
      </w:pPr>
    </w:p>
    <w:p w14:paraId="7C927A0B" w14:textId="443E3EB8" w:rsidR="005655BC" w:rsidRPr="00426277" w:rsidRDefault="005655BC" w:rsidP="008D1C70">
      <w:pPr>
        <w:pStyle w:val="ListParagraph"/>
        <w:spacing w:line="240" w:lineRule="auto"/>
        <w:ind w:left="0"/>
        <w:jc w:val="both"/>
        <w:rPr>
          <w:rFonts w:asciiTheme="minorHAnsi" w:hAnsiTheme="minorHAnsi" w:cstheme="minorHAnsi"/>
          <w:b/>
          <w:bCs/>
          <w:i/>
          <w:iCs/>
          <w:sz w:val="22"/>
          <w:szCs w:val="22"/>
        </w:rPr>
      </w:pPr>
      <w:bookmarkStart w:id="3" w:name="_Hlk127869264"/>
      <w:r w:rsidRPr="00426277">
        <w:rPr>
          <w:rFonts w:asciiTheme="minorHAnsi" w:hAnsiTheme="minorHAnsi" w:cstheme="minorHAnsi"/>
          <w:b/>
          <w:bCs/>
          <w:i/>
          <w:iCs/>
          <w:sz w:val="22"/>
          <w:szCs w:val="22"/>
        </w:rPr>
        <w:t xml:space="preserve">It </w:t>
      </w:r>
      <w:r w:rsidR="008A2FBF">
        <w:rPr>
          <w:rFonts w:asciiTheme="minorHAnsi" w:hAnsiTheme="minorHAnsi" w:cstheme="minorHAnsi"/>
          <w:b/>
          <w:bCs/>
          <w:i/>
          <w:iCs/>
          <w:sz w:val="22"/>
          <w:szCs w:val="22"/>
        </w:rPr>
        <w:t xml:space="preserve">is </w:t>
      </w:r>
      <w:r w:rsidRPr="00426277">
        <w:rPr>
          <w:rFonts w:asciiTheme="minorHAnsi" w:hAnsiTheme="minorHAnsi" w:cstheme="minorHAnsi"/>
          <w:b/>
          <w:bCs/>
          <w:i/>
          <w:iCs/>
          <w:sz w:val="22"/>
          <w:szCs w:val="22"/>
        </w:rPr>
        <w:t xml:space="preserve">therefore </w:t>
      </w:r>
      <w:r w:rsidR="00470843">
        <w:rPr>
          <w:rFonts w:asciiTheme="minorHAnsi" w:hAnsiTheme="minorHAnsi" w:cstheme="minorHAnsi"/>
          <w:b/>
          <w:bCs/>
          <w:i/>
          <w:iCs/>
          <w:sz w:val="22"/>
          <w:szCs w:val="22"/>
        </w:rPr>
        <w:t>preferable</w:t>
      </w:r>
      <w:r w:rsidRPr="00426277">
        <w:rPr>
          <w:rFonts w:asciiTheme="minorHAnsi" w:hAnsiTheme="minorHAnsi" w:cstheme="minorHAnsi"/>
          <w:b/>
          <w:bCs/>
          <w:i/>
          <w:iCs/>
          <w:sz w:val="22"/>
          <w:szCs w:val="22"/>
        </w:rPr>
        <w:t xml:space="preserve"> for certainty for all parties that the current yearly mechanism in the Customs Act remains and that the quarterly ADGSM is only applied if supplementary intervention is warranted.</w:t>
      </w:r>
    </w:p>
    <w:p w14:paraId="1A60F355" w14:textId="77777777" w:rsidR="005655BC" w:rsidRPr="00426277" w:rsidRDefault="005655BC" w:rsidP="008D1C70">
      <w:pPr>
        <w:pStyle w:val="ListParagraph"/>
        <w:spacing w:line="240" w:lineRule="auto"/>
        <w:jc w:val="both"/>
        <w:rPr>
          <w:rFonts w:asciiTheme="minorHAnsi" w:hAnsiTheme="minorHAnsi" w:cstheme="minorHAnsi"/>
          <w:sz w:val="22"/>
          <w:szCs w:val="22"/>
        </w:rPr>
      </w:pPr>
    </w:p>
    <w:p w14:paraId="687B5D01" w14:textId="35C833A8" w:rsidR="008D1C70" w:rsidRDefault="005655BC" w:rsidP="008D1C70">
      <w:pPr>
        <w:spacing w:line="240" w:lineRule="auto"/>
        <w:jc w:val="both"/>
        <w:rPr>
          <w:rFonts w:eastAsia="Times New Roman" w:cstheme="minorHAnsi"/>
          <w:b/>
          <w:bCs/>
        </w:rPr>
      </w:pPr>
      <w:r w:rsidRPr="00C21005">
        <w:rPr>
          <w:rFonts w:eastAsia="Times New Roman" w:cstheme="minorHAnsi"/>
          <w:b/>
          <w:bCs/>
        </w:rPr>
        <w:t>Determining domestic market requirements rather than the LNG exporters’ net market positions</w:t>
      </w:r>
    </w:p>
    <w:p w14:paraId="1F3F38B9" w14:textId="77777777" w:rsidR="00E0640B" w:rsidRDefault="005655BC" w:rsidP="008D1C70">
      <w:pPr>
        <w:spacing w:line="240" w:lineRule="auto"/>
        <w:jc w:val="both"/>
        <w:rPr>
          <w:rFonts w:cstheme="minorHAnsi"/>
        </w:rPr>
      </w:pPr>
      <w:r w:rsidRPr="00C21005">
        <w:rPr>
          <w:rFonts w:cstheme="minorHAnsi"/>
        </w:rPr>
        <w:t xml:space="preserve">Under previous guidelines, a domestic natural gas shortfall had to be attributable to LNG exporters’ net position for export limitations to be imposed. An LNG exporter’s net position was calculated as </w:t>
      </w:r>
      <w:r w:rsidRPr="00C21005">
        <w:rPr>
          <w:rFonts w:cstheme="minorHAnsi"/>
        </w:rPr>
        <w:lastRenderedPageBreak/>
        <w:t xml:space="preserve">the balance of the LNG exporter’s exports and its own gas supply, being gas sourced from its own tenements or contracted to third parties but explicitly for LNG exports. </w:t>
      </w:r>
    </w:p>
    <w:bookmarkEnd w:id="3"/>
    <w:p w14:paraId="2B779930" w14:textId="77777777" w:rsidR="00DD7FEC" w:rsidRDefault="005655BC" w:rsidP="008D1C70">
      <w:pPr>
        <w:spacing w:line="240" w:lineRule="auto"/>
        <w:jc w:val="both"/>
        <w:rPr>
          <w:rFonts w:cstheme="minorHAnsi"/>
        </w:rPr>
      </w:pPr>
      <w:r w:rsidRPr="00C21005">
        <w:rPr>
          <w:rFonts w:cstheme="minorHAnsi"/>
        </w:rPr>
        <w:t xml:space="preserve">LNG exporter deficits occur on the </w:t>
      </w:r>
      <w:r w:rsidR="00E0640B">
        <w:rPr>
          <w:rFonts w:cstheme="minorHAnsi"/>
        </w:rPr>
        <w:t>e</w:t>
      </w:r>
      <w:r w:rsidRPr="00C21005">
        <w:rPr>
          <w:rFonts w:cstheme="minorHAnsi"/>
        </w:rPr>
        <w:t xml:space="preserve">ast </w:t>
      </w:r>
      <w:r w:rsidR="00E0640B">
        <w:rPr>
          <w:rFonts w:cstheme="minorHAnsi"/>
        </w:rPr>
        <w:t>c</w:t>
      </w:r>
      <w:r w:rsidRPr="00C21005">
        <w:rPr>
          <w:rFonts w:cstheme="minorHAnsi"/>
        </w:rPr>
        <w:t xml:space="preserve">oast gas market where some LNG exporters purchase gas supply from the market to feed LNG projects. In Western Australia, LNG projects are prohibited from sourcing third party domestic gas supply using the domestic gas pipeline network without a </w:t>
      </w:r>
      <w:r w:rsidR="00DD7FEC">
        <w:rPr>
          <w:rFonts w:cstheme="minorHAnsi"/>
        </w:rPr>
        <w:t>government</w:t>
      </w:r>
      <w:r w:rsidRPr="00C21005">
        <w:rPr>
          <w:rFonts w:cstheme="minorHAnsi"/>
        </w:rPr>
        <w:t xml:space="preserve"> exemption (such as that granted to the Waitsia project). </w:t>
      </w:r>
    </w:p>
    <w:p w14:paraId="5EB758D1" w14:textId="1210A995" w:rsidR="00762E1E" w:rsidRPr="00175489" w:rsidRDefault="005655BC" w:rsidP="008D1C70">
      <w:pPr>
        <w:spacing w:line="240" w:lineRule="auto"/>
        <w:jc w:val="both"/>
        <w:rPr>
          <w:rFonts w:cstheme="minorHAnsi"/>
        </w:rPr>
      </w:pPr>
      <w:r w:rsidRPr="00C21005">
        <w:rPr>
          <w:rFonts w:cstheme="minorHAnsi"/>
        </w:rPr>
        <w:t xml:space="preserve">The </w:t>
      </w:r>
      <w:r w:rsidR="001F1033">
        <w:rPr>
          <w:rFonts w:cstheme="minorHAnsi"/>
        </w:rPr>
        <w:t>p</w:t>
      </w:r>
      <w:r w:rsidRPr="00C21005">
        <w:rPr>
          <w:rFonts w:cstheme="minorHAnsi"/>
        </w:rPr>
        <w:t xml:space="preserve">roposed </w:t>
      </w:r>
      <w:r w:rsidR="001F1033">
        <w:rPr>
          <w:rFonts w:cstheme="minorHAnsi"/>
        </w:rPr>
        <w:t>g</w:t>
      </w:r>
      <w:r w:rsidRPr="00C21005">
        <w:rPr>
          <w:rFonts w:cstheme="minorHAnsi"/>
        </w:rPr>
        <w:t xml:space="preserve">uidelines now disregard LNG exporters’ net position and focus instead on the domestic gas shortfall itself and a determination of whether restrictions to LNG exports </w:t>
      </w:r>
      <w:proofErr w:type="gramStart"/>
      <w:r w:rsidRPr="00C21005">
        <w:rPr>
          <w:rFonts w:cstheme="minorHAnsi"/>
        </w:rPr>
        <w:t>would have the effect of increasing gas supply to the domestic market</w:t>
      </w:r>
      <w:proofErr w:type="gramEnd"/>
      <w:r w:rsidRPr="00C21005">
        <w:rPr>
          <w:rFonts w:cstheme="minorHAnsi"/>
        </w:rPr>
        <w:t xml:space="preserve"> where the identified shortfall is expected. As a result of this change, LNG exporters may be restricted from LNG exports by an amount that supports the domestic market rather than limiting the ability of LNG exporters to purchase natural </w:t>
      </w:r>
      <w:r w:rsidRPr="00175489">
        <w:rPr>
          <w:rFonts w:cstheme="minorHAnsi"/>
        </w:rPr>
        <w:t xml:space="preserve">gas on the domestic market for LNG feed. </w:t>
      </w:r>
    </w:p>
    <w:p w14:paraId="2BEB5112" w14:textId="7ADC4047" w:rsidR="00175489" w:rsidRPr="00175489" w:rsidRDefault="005655BC" w:rsidP="008D1C70">
      <w:pPr>
        <w:spacing w:line="240" w:lineRule="auto"/>
        <w:jc w:val="both"/>
        <w:rPr>
          <w:rFonts w:cstheme="minorHAnsi"/>
        </w:rPr>
      </w:pPr>
      <w:r w:rsidRPr="00175489">
        <w:rPr>
          <w:rFonts w:cstheme="minorHAnsi"/>
        </w:rPr>
        <w:t xml:space="preserve">Under the </w:t>
      </w:r>
      <w:r w:rsidR="001F1033">
        <w:rPr>
          <w:rFonts w:cstheme="minorHAnsi"/>
        </w:rPr>
        <w:t>p</w:t>
      </w:r>
      <w:r w:rsidRPr="00175489">
        <w:rPr>
          <w:rFonts w:cstheme="minorHAnsi"/>
        </w:rPr>
        <w:t xml:space="preserve">roposed </w:t>
      </w:r>
      <w:r w:rsidR="001F1033">
        <w:rPr>
          <w:rFonts w:cstheme="minorHAnsi"/>
        </w:rPr>
        <w:t>g</w:t>
      </w:r>
      <w:r w:rsidRPr="00175489">
        <w:rPr>
          <w:rFonts w:cstheme="minorHAnsi"/>
        </w:rPr>
        <w:t xml:space="preserve">uidelines, LNG exporters will not only be restricted from drawing gas from the </w:t>
      </w:r>
      <w:r w:rsidR="00762E1E" w:rsidRPr="00175489">
        <w:rPr>
          <w:rFonts w:cstheme="minorHAnsi"/>
        </w:rPr>
        <w:t>e</w:t>
      </w:r>
      <w:r w:rsidRPr="00175489">
        <w:rPr>
          <w:rFonts w:cstheme="minorHAnsi"/>
        </w:rPr>
        <w:t xml:space="preserve">ast </w:t>
      </w:r>
      <w:r w:rsidR="00762E1E" w:rsidRPr="00175489">
        <w:rPr>
          <w:rFonts w:cstheme="minorHAnsi"/>
        </w:rPr>
        <w:t>c</w:t>
      </w:r>
      <w:r w:rsidRPr="00175489">
        <w:rPr>
          <w:rFonts w:cstheme="minorHAnsi"/>
        </w:rPr>
        <w:t xml:space="preserve">oast domestic market to supply international LNG, </w:t>
      </w:r>
      <w:r w:rsidR="001F1033" w:rsidRPr="00175489">
        <w:rPr>
          <w:rFonts w:cstheme="minorHAnsi"/>
        </w:rPr>
        <w:t>but they will also</w:t>
      </w:r>
      <w:r w:rsidRPr="00175489">
        <w:rPr>
          <w:rFonts w:cstheme="minorHAnsi"/>
        </w:rPr>
        <w:t xml:space="preserve"> be requested to supply the domestic market ahead of LNG. </w:t>
      </w:r>
    </w:p>
    <w:p w14:paraId="6CFD66C1" w14:textId="5FA5FC82" w:rsidR="005655BC" w:rsidRPr="00426277" w:rsidRDefault="005655BC" w:rsidP="008D1C70">
      <w:pPr>
        <w:spacing w:line="240" w:lineRule="auto"/>
        <w:jc w:val="both"/>
        <w:rPr>
          <w:rFonts w:cstheme="minorHAnsi"/>
          <w:b/>
          <w:bCs/>
        </w:rPr>
      </w:pPr>
      <w:r w:rsidRPr="00175489">
        <w:rPr>
          <w:rFonts w:cstheme="minorHAnsi"/>
          <w:b/>
          <w:bCs/>
          <w:i/>
          <w:iCs/>
        </w:rPr>
        <w:t xml:space="preserve">This is a strong improvement in securing gas for the domestic market and causes the ADGSM to be directly </w:t>
      </w:r>
      <w:r w:rsidR="00762E1E" w:rsidRPr="00175489">
        <w:rPr>
          <w:rFonts w:cstheme="minorHAnsi"/>
          <w:b/>
          <w:bCs/>
          <w:i/>
          <w:iCs/>
        </w:rPr>
        <w:t>relevant and applicable to</w:t>
      </w:r>
      <w:r w:rsidRPr="00175489">
        <w:rPr>
          <w:rFonts w:cstheme="minorHAnsi"/>
          <w:b/>
          <w:bCs/>
          <w:i/>
          <w:iCs/>
        </w:rPr>
        <w:t xml:space="preserve"> Western Australia.</w:t>
      </w:r>
    </w:p>
    <w:p w14:paraId="505BE20A" w14:textId="77777777" w:rsidR="005655BC" w:rsidRPr="00F03CC5" w:rsidRDefault="005655BC" w:rsidP="008D1C70">
      <w:pPr>
        <w:spacing w:line="240" w:lineRule="auto"/>
        <w:jc w:val="both"/>
        <w:rPr>
          <w:rFonts w:eastAsia="Times New Roman" w:cstheme="minorHAnsi"/>
          <w:b/>
          <w:bCs/>
        </w:rPr>
      </w:pPr>
      <w:r w:rsidRPr="00F03CC5">
        <w:rPr>
          <w:rFonts w:eastAsia="Times New Roman" w:cstheme="minorHAnsi"/>
          <w:b/>
          <w:bCs/>
        </w:rPr>
        <w:t>Protecting long-term foundational contracts</w:t>
      </w:r>
    </w:p>
    <w:p w14:paraId="7C8F463A" w14:textId="544C9A98" w:rsidR="00C11A42" w:rsidRPr="00F03CC5" w:rsidRDefault="005655BC" w:rsidP="008D1C70">
      <w:pPr>
        <w:spacing w:line="240" w:lineRule="auto"/>
        <w:jc w:val="both"/>
        <w:rPr>
          <w:rFonts w:cstheme="minorHAnsi"/>
        </w:rPr>
      </w:pPr>
      <w:r w:rsidRPr="00F03CC5">
        <w:rPr>
          <w:rFonts w:cstheme="minorHAnsi"/>
        </w:rPr>
        <w:t xml:space="preserve">The change proposed in point 2 above would introduce significant commercial and sovereign risk to LNG exporters if it could limit their capacity to deliver LNG volumes under long term agreements. The </w:t>
      </w:r>
      <w:r w:rsidR="001F1033" w:rsidRPr="00F03CC5">
        <w:rPr>
          <w:rFonts w:cstheme="minorHAnsi"/>
        </w:rPr>
        <w:t>p</w:t>
      </w:r>
      <w:r w:rsidRPr="00F03CC5">
        <w:rPr>
          <w:rFonts w:cstheme="minorHAnsi"/>
        </w:rPr>
        <w:t xml:space="preserve">roposed </w:t>
      </w:r>
      <w:r w:rsidR="001F1033" w:rsidRPr="00F03CC5">
        <w:rPr>
          <w:rFonts w:cstheme="minorHAnsi"/>
        </w:rPr>
        <w:t>g</w:t>
      </w:r>
      <w:r w:rsidRPr="00F03CC5">
        <w:rPr>
          <w:rFonts w:cstheme="minorHAnsi"/>
        </w:rPr>
        <w:t xml:space="preserve">uidelines mitigate this risk by limiting LNG export restrictions where these would prevent LNG exporters from honouring the </w:t>
      </w:r>
      <w:r w:rsidRPr="00F03CC5">
        <w:rPr>
          <w:rFonts w:cstheme="minorHAnsi"/>
          <w:u w:val="single"/>
        </w:rPr>
        <w:t>minimum supply volume under an LNG contract</w:t>
      </w:r>
      <w:r w:rsidRPr="00F03CC5">
        <w:rPr>
          <w:rFonts w:cstheme="minorHAnsi"/>
        </w:rPr>
        <w:t xml:space="preserve"> which underpinned the LNG project’s final investment decision of the LNG project. </w:t>
      </w:r>
    </w:p>
    <w:p w14:paraId="3444E22C" w14:textId="77777777" w:rsidR="00C11A42" w:rsidRDefault="00C11A42" w:rsidP="008D1C70">
      <w:pPr>
        <w:spacing w:line="240" w:lineRule="auto"/>
        <w:jc w:val="both"/>
        <w:rPr>
          <w:rFonts w:cstheme="minorHAnsi"/>
          <w:b/>
          <w:bCs/>
        </w:rPr>
      </w:pPr>
      <w:r w:rsidRPr="00F03CC5">
        <w:rPr>
          <w:rFonts w:cstheme="minorHAnsi"/>
        </w:rPr>
        <w:t>It is noted</w:t>
      </w:r>
      <w:r w:rsidR="005655BC" w:rsidRPr="00F03CC5">
        <w:rPr>
          <w:rFonts w:cstheme="minorHAnsi"/>
        </w:rPr>
        <w:t xml:space="preserve"> that the Minister may consider a renewed </w:t>
      </w:r>
      <w:r w:rsidR="00175489" w:rsidRPr="00F03CC5">
        <w:rPr>
          <w:rFonts w:cstheme="minorHAnsi"/>
        </w:rPr>
        <w:t>long-term</w:t>
      </w:r>
      <w:r w:rsidR="005655BC" w:rsidRPr="00F03CC5">
        <w:rPr>
          <w:rFonts w:cstheme="minorHAnsi"/>
        </w:rPr>
        <w:t xml:space="preserve"> contract to qualify.</w:t>
      </w:r>
      <w:r w:rsidR="005655BC" w:rsidRPr="00C21005">
        <w:rPr>
          <w:rFonts w:cstheme="minorHAnsi"/>
          <w:b/>
          <w:bCs/>
        </w:rPr>
        <w:t xml:space="preserve"> </w:t>
      </w:r>
    </w:p>
    <w:p w14:paraId="6FFB7112" w14:textId="28733426" w:rsidR="005655BC" w:rsidRPr="00FD2FE1" w:rsidRDefault="007449D9" w:rsidP="008D1C70">
      <w:pPr>
        <w:spacing w:line="240" w:lineRule="auto"/>
        <w:jc w:val="both"/>
        <w:rPr>
          <w:rFonts w:cstheme="minorHAnsi"/>
          <w:i/>
          <w:iCs/>
        </w:rPr>
      </w:pPr>
      <w:r w:rsidRPr="00FD2FE1">
        <w:rPr>
          <w:rFonts w:cstheme="minorHAnsi"/>
          <w:b/>
          <w:bCs/>
          <w:i/>
          <w:iCs/>
        </w:rPr>
        <w:t>The Alliance suggests</w:t>
      </w:r>
      <w:r w:rsidR="005655BC" w:rsidRPr="00FD2FE1">
        <w:rPr>
          <w:rFonts w:cstheme="minorHAnsi"/>
          <w:b/>
          <w:bCs/>
          <w:i/>
          <w:iCs/>
        </w:rPr>
        <w:t xml:space="preserve"> that renewed long term contracts should only qualify </w:t>
      </w:r>
      <w:r w:rsidR="001F1033">
        <w:rPr>
          <w:rFonts w:cstheme="minorHAnsi"/>
          <w:b/>
          <w:bCs/>
          <w:i/>
          <w:iCs/>
        </w:rPr>
        <w:t>if</w:t>
      </w:r>
      <w:r w:rsidR="005655BC" w:rsidRPr="00FD2FE1">
        <w:rPr>
          <w:rFonts w:cstheme="minorHAnsi"/>
          <w:b/>
          <w:bCs/>
          <w:i/>
          <w:iCs/>
        </w:rPr>
        <w:t xml:space="preserve"> they support incremental investment decisions for the LNG project such as plant expansions or field additions.</w:t>
      </w:r>
      <w:r w:rsidR="005655BC" w:rsidRPr="00FD2FE1">
        <w:rPr>
          <w:rFonts w:cstheme="minorHAnsi"/>
          <w:i/>
          <w:iCs/>
        </w:rPr>
        <w:t xml:space="preserve">    </w:t>
      </w:r>
    </w:p>
    <w:p w14:paraId="57EFB60F" w14:textId="77777777" w:rsidR="00612BC5" w:rsidRDefault="005655BC" w:rsidP="008D1C70">
      <w:pPr>
        <w:spacing w:line="240" w:lineRule="auto"/>
        <w:jc w:val="both"/>
        <w:rPr>
          <w:rFonts w:eastAsia="Times New Roman" w:cstheme="minorHAnsi"/>
        </w:rPr>
      </w:pPr>
      <w:r w:rsidRPr="00C21005">
        <w:rPr>
          <w:rFonts w:eastAsia="Times New Roman" w:cstheme="minorHAnsi"/>
        </w:rPr>
        <w:t xml:space="preserve">On the determination of the shortfall, the Minister must consult with LNG projects on whether to determine a domestic shortfall quarter (Section 7 (3) and Section 8 (5)). A shortfall is a market balance situation that can only be well understood by a party which accesses information from both the buyer and seller sides of the market. As such, should the process include market participant consultation, this should be broadened to buyers, domestic producers, and LNG exporters. </w:t>
      </w:r>
    </w:p>
    <w:p w14:paraId="44252B75" w14:textId="2AC16295" w:rsidR="005655BC" w:rsidRPr="00C21005" w:rsidRDefault="005655BC" w:rsidP="008D1C70">
      <w:pPr>
        <w:spacing w:line="240" w:lineRule="auto"/>
        <w:jc w:val="both"/>
        <w:rPr>
          <w:rFonts w:eastAsia="Times New Roman" w:cstheme="minorHAnsi"/>
        </w:rPr>
      </w:pPr>
      <w:r w:rsidRPr="00C21005">
        <w:rPr>
          <w:rFonts w:eastAsia="Times New Roman" w:cstheme="minorHAnsi"/>
        </w:rPr>
        <w:t>The outcome of the consultation process should not be binding on the Minister’s decision.</w:t>
      </w:r>
    </w:p>
    <w:p w14:paraId="6100FB6C" w14:textId="4AEEFA8C" w:rsidR="005655BC" w:rsidRPr="00C21005" w:rsidRDefault="005655BC" w:rsidP="008D1C70">
      <w:pPr>
        <w:spacing w:line="240" w:lineRule="auto"/>
        <w:jc w:val="both"/>
        <w:rPr>
          <w:rFonts w:eastAsia="Times New Roman" w:cstheme="minorHAnsi"/>
        </w:rPr>
      </w:pPr>
      <w:r w:rsidRPr="00C21005">
        <w:rPr>
          <w:rFonts w:eastAsia="Times New Roman" w:cstheme="minorHAnsi"/>
        </w:rPr>
        <w:t xml:space="preserve">To support the Minister’s evaluation of the past performance of all participants in the domestic gas market under Section 8 (11) (f), and the performance of the ADGSM itself, a systematic and timely review process would be required. We note that the current ACCC Gas Market Inquiry provides a basis for such a review of the </w:t>
      </w:r>
      <w:proofErr w:type="gramStart"/>
      <w:r w:rsidRPr="00C21005">
        <w:rPr>
          <w:rFonts w:eastAsia="Times New Roman" w:cstheme="minorHAnsi"/>
        </w:rPr>
        <w:t>market</w:t>
      </w:r>
      <w:proofErr w:type="gramEnd"/>
      <w:r w:rsidRPr="00C21005">
        <w:rPr>
          <w:rFonts w:eastAsia="Times New Roman" w:cstheme="minorHAnsi"/>
        </w:rPr>
        <w:t xml:space="preserve"> but its </w:t>
      </w:r>
      <w:r w:rsidR="001F1033" w:rsidRPr="00C21005">
        <w:rPr>
          <w:rFonts w:eastAsia="Times New Roman" w:cstheme="minorHAnsi"/>
        </w:rPr>
        <w:t>six-monthly</w:t>
      </w:r>
      <w:r w:rsidRPr="00C21005">
        <w:rPr>
          <w:rFonts w:eastAsia="Times New Roman" w:cstheme="minorHAnsi"/>
        </w:rPr>
        <w:t xml:space="preserve"> frequency may not suit.  </w:t>
      </w:r>
    </w:p>
    <w:p w14:paraId="7DBA48DB" w14:textId="4737A606" w:rsidR="005655BC" w:rsidRPr="00C21005" w:rsidRDefault="005655BC" w:rsidP="008D1C70">
      <w:pPr>
        <w:spacing w:line="240" w:lineRule="auto"/>
        <w:jc w:val="both"/>
        <w:rPr>
          <w:rFonts w:eastAsia="Times New Roman" w:cstheme="minorHAnsi"/>
        </w:rPr>
      </w:pPr>
      <w:r w:rsidRPr="00C21005">
        <w:rPr>
          <w:rFonts w:eastAsia="Times New Roman" w:cstheme="minorHAnsi"/>
        </w:rPr>
        <w:t xml:space="preserve">The definition of </w:t>
      </w:r>
      <w:r w:rsidR="001F1033">
        <w:rPr>
          <w:rFonts w:eastAsia="Times New Roman" w:cstheme="minorHAnsi"/>
        </w:rPr>
        <w:t>g</w:t>
      </w:r>
      <w:r w:rsidRPr="00C21005">
        <w:rPr>
          <w:rFonts w:eastAsia="Times New Roman" w:cstheme="minorHAnsi"/>
        </w:rPr>
        <w:t xml:space="preserve">as supply (Section 8 (6)) should be clarified. Gas supply is a term used for gas supply to LNG projects as well as domestic gas supply more broadly. The current definition is only fit for LNG gas supply (Section 8 (7)). </w:t>
      </w:r>
    </w:p>
    <w:p w14:paraId="6E89E59A" w14:textId="6B54FA85" w:rsidR="005655BC" w:rsidRDefault="005655BC" w:rsidP="008D1C70">
      <w:pPr>
        <w:spacing w:line="240" w:lineRule="auto"/>
        <w:jc w:val="both"/>
        <w:rPr>
          <w:rFonts w:eastAsia="Times New Roman" w:cstheme="minorHAnsi"/>
        </w:rPr>
      </w:pPr>
      <w:r w:rsidRPr="00C21005">
        <w:rPr>
          <w:rFonts w:eastAsia="Times New Roman" w:cstheme="minorHAnsi"/>
        </w:rPr>
        <w:t xml:space="preserve">Section 7(7) states that an export permission may be traded, without further detail. </w:t>
      </w:r>
      <w:r w:rsidR="00BD43DA">
        <w:rPr>
          <w:rFonts w:eastAsia="Times New Roman" w:cstheme="minorHAnsi"/>
        </w:rPr>
        <w:t xml:space="preserve">The Alliance </w:t>
      </w:r>
      <w:r w:rsidRPr="00C21005">
        <w:rPr>
          <w:rFonts w:eastAsia="Times New Roman" w:cstheme="minorHAnsi"/>
        </w:rPr>
        <w:t>believe</w:t>
      </w:r>
      <w:r w:rsidR="00AC3820">
        <w:rPr>
          <w:rFonts w:eastAsia="Times New Roman" w:cstheme="minorHAnsi"/>
        </w:rPr>
        <w:t>s</w:t>
      </w:r>
      <w:r w:rsidRPr="00C21005">
        <w:rPr>
          <w:rFonts w:eastAsia="Times New Roman" w:cstheme="minorHAnsi"/>
        </w:rPr>
        <w:t xml:space="preserve"> such trading should have restrictions; as a minimum, including a requirement that permissions may not be traded across the disconnected markets (east/west/north)</w:t>
      </w:r>
      <w:r w:rsidR="00AC3820">
        <w:rPr>
          <w:rFonts w:eastAsia="Times New Roman" w:cstheme="minorHAnsi"/>
        </w:rPr>
        <w:t xml:space="preserve"> and be consistent with the WA Domestic Gas Policy</w:t>
      </w:r>
      <w:r w:rsidRPr="00C21005">
        <w:rPr>
          <w:rFonts w:eastAsia="Times New Roman" w:cstheme="minorHAnsi"/>
        </w:rPr>
        <w:t xml:space="preserve">. </w:t>
      </w:r>
    </w:p>
    <w:p w14:paraId="08438D65" w14:textId="29170AA7" w:rsidR="00AC3820" w:rsidRDefault="008502B1" w:rsidP="008D1C70">
      <w:pPr>
        <w:spacing w:line="240" w:lineRule="auto"/>
        <w:jc w:val="both"/>
        <w:rPr>
          <w:rFonts w:eastAsia="Times New Roman" w:cstheme="minorHAnsi"/>
          <w:b/>
          <w:bCs/>
        </w:rPr>
      </w:pPr>
      <w:r>
        <w:rPr>
          <w:rFonts w:eastAsia="Times New Roman" w:cstheme="minorHAnsi"/>
          <w:b/>
          <w:bCs/>
        </w:rPr>
        <w:lastRenderedPageBreak/>
        <w:t>Summary</w:t>
      </w:r>
    </w:p>
    <w:p w14:paraId="4E687744" w14:textId="567208F7" w:rsidR="008502B1" w:rsidRDefault="008502B1" w:rsidP="008D1C70">
      <w:pPr>
        <w:spacing w:line="240" w:lineRule="auto"/>
        <w:jc w:val="both"/>
        <w:rPr>
          <w:rFonts w:eastAsia="Times New Roman" w:cstheme="minorHAnsi"/>
        </w:rPr>
      </w:pPr>
      <w:r>
        <w:rPr>
          <w:rFonts w:eastAsia="Times New Roman" w:cstheme="minorHAnsi"/>
        </w:rPr>
        <w:t xml:space="preserve">The DomGas Alliance welcomes the opportunity to comment on the </w:t>
      </w:r>
      <w:r w:rsidR="00AC521B">
        <w:rPr>
          <w:rFonts w:eastAsia="Times New Roman" w:cstheme="minorHAnsi"/>
        </w:rPr>
        <w:t xml:space="preserve">review of the </w:t>
      </w:r>
      <w:r w:rsidR="001F1033">
        <w:rPr>
          <w:rFonts w:eastAsia="Times New Roman" w:cstheme="minorHAnsi"/>
        </w:rPr>
        <w:t>ADGSM and</w:t>
      </w:r>
      <w:r w:rsidR="00AC521B">
        <w:rPr>
          <w:rFonts w:eastAsia="Times New Roman" w:cstheme="minorHAnsi"/>
        </w:rPr>
        <w:t xml:space="preserve"> congratulates the Federal Government for recognising that gas </w:t>
      </w:r>
      <w:r w:rsidR="00126AEC">
        <w:rPr>
          <w:rFonts w:eastAsia="Times New Roman" w:cstheme="minorHAnsi"/>
        </w:rPr>
        <w:t>will continue to play a critical role in both east and west coast economies</w:t>
      </w:r>
      <w:r w:rsidR="0080762F">
        <w:rPr>
          <w:rFonts w:eastAsia="Times New Roman" w:cstheme="minorHAnsi"/>
        </w:rPr>
        <w:t>, especially in the transition to net zero emissions.</w:t>
      </w:r>
    </w:p>
    <w:p w14:paraId="15338459" w14:textId="77777777" w:rsidR="0080762F" w:rsidRPr="008502B1" w:rsidRDefault="0080762F" w:rsidP="008D1C70">
      <w:pPr>
        <w:spacing w:line="240" w:lineRule="auto"/>
        <w:jc w:val="both"/>
        <w:rPr>
          <w:rFonts w:eastAsia="Times New Roman" w:cstheme="minorHAnsi"/>
        </w:rPr>
      </w:pPr>
    </w:p>
    <w:p w14:paraId="0CD75E05" w14:textId="6E27598C" w:rsidR="0099251B" w:rsidRDefault="00DE567A" w:rsidP="008D1C70">
      <w:pPr>
        <w:jc w:val="both"/>
      </w:pPr>
      <w:r>
        <w:t>I</w:t>
      </w:r>
      <w:r w:rsidR="0099251B">
        <w:t xml:space="preserve">f you have any further queries in relation to the matters discussed within the letter, please contact </w:t>
      </w:r>
      <w:r w:rsidR="001F1033">
        <w:t>me</w:t>
      </w:r>
      <w:r w:rsidR="0099251B">
        <w:t xml:space="preserve"> on 0423 760 664. </w:t>
      </w:r>
    </w:p>
    <w:p w14:paraId="3D3EA4AF" w14:textId="77777777" w:rsidR="0099251B" w:rsidRPr="00BB2088" w:rsidRDefault="0099251B" w:rsidP="008D1C70">
      <w:pPr>
        <w:pStyle w:val="PlainText"/>
        <w:spacing w:after="180" w:line="288" w:lineRule="auto"/>
        <w:jc w:val="both"/>
      </w:pPr>
      <w:r w:rsidRPr="00BB2088">
        <w:t xml:space="preserve">Yours </w:t>
      </w:r>
      <w:r>
        <w:t>sincerely</w:t>
      </w:r>
    </w:p>
    <w:p w14:paraId="27409043" w14:textId="77777777" w:rsidR="0099251B" w:rsidRDefault="0099251B" w:rsidP="008D1C70">
      <w:pPr>
        <w:pStyle w:val="PlainText"/>
        <w:spacing w:line="288" w:lineRule="auto"/>
        <w:jc w:val="both"/>
      </w:pPr>
    </w:p>
    <w:p w14:paraId="72EB2723" w14:textId="77777777" w:rsidR="0099251B" w:rsidRPr="00BB2088" w:rsidRDefault="0099251B" w:rsidP="008D1C70">
      <w:pPr>
        <w:pStyle w:val="PlainText"/>
        <w:spacing w:line="288" w:lineRule="auto"/>
        <w:jc w:val="both"/>
      </w:pPr>
      <w:r>
        <w:rPr>
          <w:noProof/>
        </w:rPr>
        <w:drawing>
          <wp:inline distT="0" distB="0" distL="0" distR="0" wp14:anchorId="4194AD38" wp14:editId="7FC6080B">
            <wp:extent cx="1920240" cy="689956"/>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0240" cy="689956"/>
                    </a:xfrm>
                    <a:prstGeom prst="rect">
                      <a:avLst/>
                    </a:prstGeom>
                  </pic:spPr>
                </pic:pic>
              </a:graphicData>
            </a:graphic>
          </wp:inline>
        </w:drawing>
      </w:r>
    </w:p>
    <w:p w14:paraId="424970E3" w14:textId="5DE0F321" w:rsidR="0099251B" w:rsidRPr="003B7F19" w:rsidRDefault="0099251B" w:rsidP="008D1C70">
      <w:pPr>
        <w:pStyle w:val="PlainText"/>
        <w:spacing w:line="288" w:lineRule="auto"/>
      </w:pPr>
      <w:r>
        <w:rPr>
          <w:b/>
          <w:bCs/>
        </w:rPr>
        <w:t>RICHARD HARRIS</w:t>
      </w:r>
      <w:r>
        <w:rPr>
          <w:b/>
          <w:bCs/>
        </w:rPr>
        <w:br/>
        <w:t>C</w:t>
      </w:r>
      <w:r w:rsidR="00393004">
        <w:rPr>
          <w:b/>
          <w:bCs/>
        </w:rPr>
        <w:t>hairman and Spokesperson</w:t>
      </w:r>
      <w:r>
        <w:rPr>
          <w:b/>
          <w:bCs/>
        </w:rPr>
        <w:br/>
        <w:t>D</w:t>
      </w:r>
      <w:r w:rsidR="00393004">
        <w:rPr>
          <w:b/>
          <w:bCs/>
        </w:rPr>
        <w:t>omGas Alliance</w:t>
      </w:r>
    </w:p>
    <w:p w14:paraId="167C8205" w14:textId="77777777" w:rsidR="0099251B" w:rsidRDefault="0099251B" w:rsidP="008D1C70">
      <w:pPr>
        <w:jc w:val="both"/>
      </w:pPr>
    </w:p>
    <w:p w14:paraId="36423DCF" w14:textId="77777777" w:rsidR="00796BBA" w:rsidRDefault="00796BBA" w:rsidP="008D1C70">
      <w:pPr>
        <w:jc w:val="both"/>
        <w:sectPr w:rsidR="00796BBA" w:rsidSect="00796BBA">
          <w:footerReference w:type="default" r:id="rId9"/>
          <w:headerReference w:type="first" r:id="rId10"/>
          <w:pgSz w:w="11906" w:h="16838"/>
          <w:pgMar w:top="1440" w:right="1440" w:bottom="1440" w:left="1440" w:header="708" w:footer="708" w:gutter="0"/>
          <w:cols w:space="708"/>
          <w:titlePg/>
          <w:docGrid w:linePitch="360"/>
        </w:sectPr>
      </w:pPr>
    </w:p>
    <w:p w14:paraId="264A0F0C" w14:textId="77777777" w:rsidR="00796BBA" w:rsidRPr="00796BBA" w:rsidRDefault="00796BBA" w:rsidP="008D1C70">
      <w:pPr>
        <w:jc w:val="both"/>
        <w:rPr>
          <w:b/>
          <w:bCs/>
          <w:lang w:val="en-GB"/>
        </w:rPr>
      </w:pPr>
      <w:r w:rsidRPr="00796BBA">
        <w:rPr>
          <w:b/>
          <w:bCs/>
          <w:lang w:val="en-GB"/>
        </w:rPr>
        <w:lastRenderedPageBreak/>
        <w:t>Economic Importance of Domestic Gas to Western Australia (2019-20)</w:t>
      </w:r>
    </w:p>
    <w:p w14:paraId="022FFD41" w14:textId="77777777" w:rsidR="00796BBA" w:rsidRDefault="00796BBA" w:rsidP="008D1C70">
      <w:pPr>
        <w:jc w:val="both"/>
      </w:pPr>
      <w:r>
        <w:t xml:space="preserve">The gas industry is a significant driver of the growth and development of the WA economy. ACIL Allen estimates that in 2019-20, gas exports alone contributed $33.8 billion to WA’s export income. While these direct impacts are significant and visible, the gas industry plays an equally important role in facilitating the growth and development of other industries and the domestic economy more broadly. </w:t>
      </w:r>
    </w:p>
    <w:p w14:paraId="06135B71" w14:textId="77777777" w:rsidR="00796BBA" w:rsidRDefault="00796BBA" w:rsidP="008D1C70">
      <w:pPr>
        <w:jc w:val="both"/>
      </w:pPr>
      <w:r>
        <w:t xml:space="preserve">The gas industry supplies to a number of important industries across the State, which together purchased some $4.1 billion in gas as a critical input into their operations. The largest consumer of domestic gas in 2019-20 was the manufacturing and material processing sector ($1.3 billion in purchases), of which the largest consumers within the sector were mineral processing ($0.3 billion) and chemical manufacturing ($0.7 billion). The other largest consumers of domestic gas in the State were the mining ($1.1 billion), utilities ($0.2 billion), transport and logistics ($0.1 billion) and construction ($0.1 billion) sectors. </w:t>
      </w:r>
    </w:p>
    <w:p w14:paraId="2FA7B3B4" w14:textId="77777777" w:rsidR="00796BBA" w:rsidRDefault="00796BBA" w:rsidP="008D1C70">
      <w:pPr>
        <w:jc w:val="both"/>
        <w:rPr>
          <w:rFonts w:asciiTheme="majorHAnsi" w:eastAsiaTheme="majorEastAsia" w:hAnsiTheme="majorHAnsi" w:cstheme="majorBidi"/>
          <w:color w:val="532477" w:themeColor="accent1" w:themeShade="BF"/>
          <w:sz w:val="32"/>
          <w:szCs w:val="32"/>
        </w:rPr>
      </w:pPr>
      <w:r>
        <w:t>Together, these industries generated $323.1 billion of economic activity, accounting for 58% of total economic activity in WA, and supported 358,365 full time equivalent jobs in 2019-20.</w:t>
      </w:r>
      <w:r>
        <w:rPr>
          <w:noProof/>
        </w:rPr>
        <w:drawing>
          <wp:inline distT="0" distB="0" distL="0" distR="0" wp14:anchorId="10C0D5C5" wp14:editId="50D59938">
            <wp:extent cx="5731510" cy="5581650"/>
            <wp:effectExtent l="0" t="0" r="254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l="23431" t="12714" r="25632" b="12865"/>
                    <a:stretch>
                      <a:fillRect/>
                    </a:stretch>
                  </pic:blipFill>
                  <pic:spPr bwMode="auto">
                    <a:xfrm>
                      <a:off x="0" y="0"/>
                      <a:ext cx="5731510" cy="5581650"/>
                    </a:xfrm>
                    <a:prstGeom prst="rect">
                      <a:avLst/>
                    </a:prstGeom>
                    <a:noFill/>
                    <a:ln>
                      <a:noFill/>
                    </a:ln>
                  </pic:spPr>
                </pic:pic>
              </a:graphicData>
            </a:graphic>
          </wp:inline>
        </w:drawing>
      </w:r>
      <w:r>
        <w:br w:type="page"/>
      </w:r>
    </w:p>
    <w:p w14:paraId="4FA5CCF5" w14:textId="1010009D" w:rsidR="00796BBA" w:rsidRPr="00796BBA" w:rsidRDefault="00796BBA" w:rsidP="008D1C70">
      <w:pPr>
        <w:rPr>
          <w:b/>
          <w:bCs/>
        </w:rPr>
      </w:pPr>
      <w:r w:rsidRPr="00796BBA">
        <w:rPr>
          <w:b/>
          <w:bCs/>
        </w:rPr>
        <w:lastRenderedPageBreak/>
        <w:t xml:space="preserve">APPENDIX </w:t>
      </w:r>
      <w:r w:rsidR="008D1C70">
        <w:rPr>
          <w:b/>
          <w:bCs/>
        </w:rPr>
        <w:t>A</w:t>
      </w:r>
    </w:p>
    <w:tbl>
      <w:tblPr>
        <w:tblW w:w="8543" w:type="dxa"/>
        <w:shd w:val="clear" w:color="auto" w:fill="F5F5F5"/>
        <w:tblCellMar>
          <w:top w:w="15" w:type="dxa"/>
          <w:left w:w="15" w:type="dxa"/>
          <w:bottom w:w="15" w:type="dxa"/>
          <w:right w:w="15" w:type="dxa"/>
        </w:tblCellMar>
        <w:tblLook w:val="04A0" w:firstRow="1" w:lastRow="0" w:firstColumn="1" w:lastColumn="0" w:noHBand="0" w:noVBand="1"/>
      </w:tblPr>
      <w:tblGrid>
        <w:gridCol w:w="3375"/>
        <w:gridCol w:w="1185"/>
        <w:gridCol w:w="1048"/>
        <w:gridCol w:w="1628"/>
        <w:gridCol w:w="1307"/>
      </w:tblGrid>
      <w:tr w:rsidR="00796BBA" w:rsidRPr="00791368" w14:paraId="44439B38" w14:textId="77777777" w:rsidTr="00526C45">
        <w:trPr>
          <w:trHeight w:val="1376"/>
        </w:trPr>
        <w:tc>
          <w:tcPr>
            <w:tcW w:w="3375" w:type="dxa"/>
            <w:tcBorders>
              <w:top w:val="single" w:sz="6" w:space="0" w:color="ABABAB"/>
              <w:left w:val="single" w:sz="6" w:space="0" w:color="ABABAB"/>
              <w:bottom w:val="single" w:sz="6" w:space="0" w:color="ABABAB"/>
              <w:right w:val="single" w:sz="6" w:space="0" w:color="ABABAB"/>
            </w:tcBorders>
            <w:shd w:val="clear" w:color="auto" w:fill="CCCCCC"/>
            <w:vAlign w:val="center"/>
            <w:hideMark/>
          </w:tcPr>
          <w:p w14:paraId="26B4B606" w14:textId="77777777" w:rsidR="00796BBA" w:rsidRPr="00791368" w:rsidRDefault="00796BBA" w:rsidP="008D1C70">
            <w:pPr>
              <w:spacing w:after="0" w:line="240" w:lineRule="auto"/>
              <w:jc w:val="center"/>
              <w:rPr>
                <w:rFonts w:ascii="Arial" w:eastAsia="Times New Roman" w:hAnsi="Arial" w:cs="Arial"/>
                <w:color w:val="000000"/>
                <w:sz w:val="20"/>
                <w:szCs w:val="20"/>
                <w:lang w:eastAsia="en-AU"/>
              </w:rPr>
            </w:pPr>
            <w:r w:rsidRPr="00E2103E">
              <w:rPr>
                <w:rFonts w:ascii="Arial" w:eastAsia="Times New Roman" w:hAnsi="Arial" w:cs="Arial"/>
                <w:color w:val="000000"/>
                <w:sz w:val="20"/>
                <w:szCs w:val="20"/>
                <w:lang w:eastAsia="en-AU"/>
              </w:rPr>
              <w:t>A</w:t>
            </w:r>
            <w:r w:rsidRPr="00791368">
              <w:rPr>
                <w:rFonts w:ascii="Arial" w:eastAsia="Times New Roman" w:hAnsi="Arial" w:cs="Arial"/>
                <w:color w:val="000000"/>
                <w:sz w:val="20"/>
                <w:szCs w:val="20"/>
                <w:lang w:eastAsia="en-AU"/>
              </w:rPr>
              <w:t>greement</w:t>
            </w:r>
            <w:r w:rsidRPr="00791368">
              <w:rPr>
                <w:rFonts w:ascii="Arial" w:eastAsia="Times New Roman" w:hAnsi="Arial" w:cs="Arial"/>
                <w:color w:val="000000"/>
                <w:sz w:val="20"/>
                <w:szCs w:val="20"/>
                <w:lang w:eastAsia="en-AU"/>
              </w:rPr>
              <w:br/>
              <w:t>(LNG project, operator, date)</w:t>
            </w:r>
          </w:p>
        </w:tc>
        <w:tc>
          <w:tcPr>
            <w:tcW w:w="1185" w:type="dxa"/>
            <w:tcBorders>
              <w:top w:val="single" w:sz="6" w:space="0" w:color="ABABAB"/>
              <w:left w:val="single" w:sz="6" w:space="0" w:color="ABABAB"/>
              <w:bottom w:val="single" w:sz="6" w:space="0" w:color="ABABAB"/>
              <w:right w:val="single" w:sz="6" w:space="0" w:color="ABABAB"/>
            </w:tcBorders>
            <w:shd w:val="clear" w:color="auto" w:fill="CCCCCC"/>
            <w:vAlign w:val="center"/>
            <w:hideMark/>
          </w:tcPr>
          <w:p w14:paraId="7DB7CC42" w14:textId="77777777" w:rsidR="00796BBA" w:rsidRPr="00791368" w:rsidRDefault="00796BBA" w:rsidP="008D1C70">
            <w:pPr>
              <w:spacing w:after="0" w:line="240" w:lineRule="auto"/>
              <w:jc w:val="center"/>
              <w:rPr>
                <w:rFonts w:ascii="Arial" w:eastAsia="Times New Roman" w:hAnsi="Arial" w:cs="Arial"/>
                <w:color w:val="000000"/>
                <w:sz w:val="20"/>
                <w:szCs w:val="20"/>
                <w:lang w:eastAsia="en-AU"/>
              </w:rPr>
            </w:pPr>
            <w:r w:rsidRPr="00791368">
              <w:rPr>
                <w:rFonts w:ascii="Arial" w:eastAsia="Times New Roman" w:hAnsi="Arial" w:cs="Arial"/>
                <w:color w:val="000000"/>
                <w:sz w:val="20"/>
                <w:szCs w:val="20"/>
                <w:lang w:eastAsia="en-AU"/>
              </w:rPr>
              <w:t>Reserves</w:t>
            </w:r>
            <w:r w:rsidRPr="00791368">
              <w:rPr>
                <w:rFonts w:ascii="Arial" w:eastAsia="Times New Roman" w:hAnsi="Arial" w:cs="Arial"/>
                <w:color w:val="000000"/>
                <w:sz w:val="20"/>
                <w:szCs w:val="20"/>
                <w:lang w:eastAsia="en-AU"/>
              </w:rPr>
              <w:br/>
              <w:t>2P, 2021</w:t>
            </w:r>
            <w:r w:rsidRPr="00791368">
              <w:rPr>
                <w:rFonts w:ascii="Arial" w:eastAsia="Times New Roman" w:hAnsi="Arial" w:cs="Arial"/>
                <w:color w:val="000000"/>
                <w:sz w:val="20"/>
                <w:szCs w:val="20"/>
                <w:vertAlign w:val="superscript"/>
                <w:lang w:eastAsia="en-AU"/>
              </w:rPr>
              <w:t>1</w:t>
            </w:r>
          </w:p>
        </w:tc>
        <w:tc>
          <w:tcPr>
            <w:tcW w:w="1048" w:type="dxa"/>
            <w:tcBorders>
              <w:top w:val="single" w:sz="6" w:space="0" w:color="ABABAB"/>
              <w:left w:val="single" w:sz="6" w:space="0" w:color="ABABAB"/>
              <w:bottom w:val="single" w:sz="6" w:space="0" w:color="ABABAB"/>
              <w:right w:val="single" w:sz="6" w:space="0" w:color="ABABAB"/>
            </w:tcBorders>
            <w:shd w:val="clear" w:color="auto" w:fill="CCCCCC"/>
            <w:vAlign w:val="center"/>
            <w:hideMark/>
          </w:tcPr>
          <w:p w14:paraId="0F23F624" w14:textId="77777777" w:rsidR="00796BBA" w:rsidRPr="00791368" w:rsidRDefault="00796BBA" w:rsidP="008D1C70">
            <w:pPr>
              <w:spacing w:after="0" w:line="240" w:lineRule="auto"/>
              <w:jc w:val="center"/>
              <w:rPr>
                <w:rFonts w:ascii="Arial" w:eastAsia="Times New Roman" w:hAnsi="Arial" w:cs="Arial"/>
                <w:color w:val="000000"/>
                <w:sz w:val="20"/>
                <w:szCs w:val="20"/>
                <w:lang w:eastAsia="en-AU"/>
              </w:rPr>
            </w:pPr>
            <w:r w:rsidRPr="00791368">
              <w:rPr>
                <w:rFonts w:ascii="Arial" w:eastAsia="Times New Roman" w:hAnsi="Arial" w:cs="Arial"/>
                <w:color w:val="000000"/>
                <w:sz w:val="20"/>
                <w:szCs w:val="20"/>
                <w:lang w:eastAsia="en-AU"/>
              </w:rPr>
              <w:t>LNG Export Capacity</w:t>
            </w:r>
          </w:p>
        </w:tc>
        <w:tc>
          <w:tcPr>
            <w:tcW w:w="1628" w:type="dxa"/>
            <w:tcBorders>
              <w:top w:val="single" w:sz="6" w:space="0" w:color="ABABAB"/>
              <w:left w:val="single" w:sz="6" w:space="0" w:color="ABABAB"/>
              <w:bottom w:val="single" w:sz="6" w:space="0" w:color="ABABAB"/>
              <w:right w:val="single" w:sz="6" w:space="0" w:color="ABABAB"/>
            </w:tcBorders>
            <w:shd w:val="clear" w:color="auto" w:fill="CCCCCC"/>
            <w:vAlign w:val="center"/>
            <w:hideMark/>
          </w:tcPr>
          <w:p w14:paraId="71A687C9" w14:textId="77777777" w:rsidR="00796BBA" w:rsidRPr="00791368" w:rsidRDefault="00796BBA" w:rsidP="008D1C70">
            <w:pPr>
              <w:spacing w:before="100" w:beforeAutospacing="1" w:after="100" w:afterAutospacing="1" w:line="240" w:lineRule="auto"/>
              <w:jc w:val="center"/>
              <w:rPr>
                <w:rFonts w:ascii="Arial" w:eastAsia="Times New Roman" w:hAnsi="Arial" w:cs="Arial"/>
                <w:color w:val="000000"/>
                <w:sz w:val="20"/>
                <w:szCs w:val="20"/>
                <w:lang w:eastAsia="en-AU"/>
              </w:rPr>
            </w:pPr>
            <w:r w:rsidRPr="00791368">
              <w:rPr>
                <w:rFonts w:ascii="Arial" w:eastAsia="Times New Roman" w:hAnsi="Arial" w:cs="Arial"/>
                <w:color w:val="000000"/>
                <w:sz w:val="20"/>
                <w:szCs w:val="20"/>
                <w:lang w:eastAsia="en-AU"/>
              </w:rPr>
              <w:t>Indicative Domgas Commitment</w:t>
            </w:r>
          </w:p>
        </w:tc>
        <w:tc>
          <w:tcPr>
            <w:tcW w:w="1307" w:type="dxa"/>
            <w:tcBorders>
              <w:top w:val="single" w:sz="6" w:space="0" w:color="ABABAB"/>
              <w:left w:val="single" w:sz="6" w:space="0" w:color="ABABAB"/>
              <w:bottom w:val="single" w:sz="6" w:space="0" w:color="ABABAB"/>
              <w:right w:val="single" w:sz="6" w:space="0" w:color="ABABAB"/>
            </w:tcBorders>
            <w:shd w:val="clear" w:color="auto" w:fill="CCCCCC"/>
            <w:vAlign w:val="center"/>
            <w:hideMark/>
          </w:tcPr>
          <w:p w14:paraId="1CB41984" w14:textId="77777777" w:rsidR="00796BBA" w:rsidRPr="00791368" w:rsidRDefault="00796BBA" w:rsidP="008D1C70">
            <w:pPr>
              <w:spacing w:before="100" w:beforeAutospacing="1" w:after="100" w:afterAutospacing="1" w:line="240" w:lineRule="auto"/>
              <w:jc w:val="center"/>
              <w:rPr>
                <w:rFonts w:ascii="Arial" w:eastAsia="Times New Roman" w:hAnsi="Arial" w:cs="Arial"/>
                <w:color w:val="000000"/>
                <w:sz w:val="20"/>
                <w:szCs w:val="20"/>
                <w:lang w:eastAsia="en-AU"/>
              </w:rPr>
            </w:pPr>
            <w:r w:rsidRPr="00791368">
              <w:rPr>
                <w:rFonts w:ascii="Arial" w:eastAsia="Times New Roman" w:hAnsi="Arial" w:cs="Arial"/>
                <w:color w:val="000000"/>
                <w:sz w:val="20"/>
                <w:szCs w:val="20"/>
                <w:lang w:eastAsia="en-AU"/>
              </w:rPr>
              <w:t>Domgas Supplied to end-2020</w:t>
            </w:r>
          </w:p>
        </w:tc>
      </w:tr>
      <w:tr w:rsidR="00796BBA" w:rsidRPr="00791368" w14:paraId="21BECBB4" w14:textId="77777777" w:rsidTr="00526C45">
        <w:trPr>
          <w:trHeight w:val="1385"/>
        </w:trPr>
        <w:tc>
          <w:tcPr>
            <w:tcW w:w="337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0A68B02" w14:textId="77777777" w:rsidR="00796BBA" w:rsidRPr="00791368" w:rsidRDefault="00F03CC5" w:rsidP="008D1C70">
            <w:pPr>
              <w:spacing w:after="0" w:line="240" w:lineRule="auto"/>
              <w:rPr>
                <w:rFonts w:ascii="Arial" w:eastAsia="Times New Roman" w:hAnsi="Arial" w:cs="Arial"/>
                <w:color w:val="000000"/>
                <w:sz w:val="20"/>
                <w:szCs w:val="20"/>
                <w:lang w:eastAsia="en-AU"/>
              </w:rPr>
            </w:pPr>
            <w:hyperlink r:id="rId12" w:history="1">
              <w:r w:rsidR="00796BBA" w:rsidRPr="00791368">
                <w:rPr>
                  <w:rFonts w:ascii="Arial" w:eastAsia="Times New Roman" w:hAnsi="Arial" w:cs="Arial"/>
                  <w:color w:val="4D4D4D"/>
                  <w:sz w:val="20"/>
                  <w:szCs w:val="20"/>
                  <w:u w:val="single"/>
                  <w:lang w:eastAsia="en-AU"/>
                </w:rPr>
                <w:t>Barrow Island Act 2003</w:t>
              </w:r>
            </w:hyperlink>
            <w:r w:rsidR="00796BBA" w:rsidRPr="00791368">
              <w:rPr>
                <w:rFonts w:ascii="Arial" w:eastAsia="Times New Roman" w:hAnsi="Arial" w:cs="Arial"/>
                <w:color w:val="000000"/>
                <w:sz w:val="20"/>
                <w:szCs w:val="20"/>
                <w:lang w:eastAsia="en-AU"/>
              </w:rPr>
              <w:br/>
              <w:t>(Gorgon, Chevron, 2003)</w:t>
            </w:r>
          </w:p>
        </w:tc>
        <w:tc>
          <w:tcPr>
            <w:tcW w:w="118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02FB97F" w14:textId="77777777" w:rsidR="00796BBA" w:rsidRPr="00791368" w:rsidRDefault="00796BBA" w:rsidP="008D1C70">
            <w:pPr>
              <w:spacing w:before="100" w:beforeAutospacing="1" w:after="100" w:afterAutospacing="1" w:line="240" w:lineRule="auto"/>
              <w:jc w:val="center"/>
              <w:rPr>
                <w:rFonts w:ascii="Arial" w:eastAsia="Times New Roman" w:hAnsi="Arial" w:cs="Arial"/>
                <w:color w:val="000000"/>
                <w:sz w:val="20"/>
                <w:szCs w:val="20"/>
                <w:lang w:eastAsia="en-AU"/>
              </w:rPr>
            </w:pPr>
            <w:r w:rsidRPr="00791368">
              <w:rPr>
                <w:rFonts w:ascii="Arial" w:eastAsia="Times New Roman" w:hAnsi="Arial" w:cs="Arial"/>
                <w:color w:val="000000"/>
                <w:sz w:val="20"/>
                <w:szCs w:val="20"/>
                <w:lang w:eastAsia="en-AU"/>
              </w:rPr>
              <w:t> </w:t>
            </w:r>
          </w:p>
          <w:p w14:paraId="01EC1B07" w14:textId="77777777" w:rsidR="00796BBA" w:rsidRPr="00791368" w:rsidRDefault="00796BBA" w:rsidP="008D1C70">
            <w:pPr>
              <w:spacing w:before="100" w:beforeAutospacing="1" w:after="100" w:afterAutospacing="1" w:line="240" w:lineRule="auto"/>
              <w:jc w:val="center"/>
              <w:rPr>
                <w:rFonts w:ascii="Arial" w:eastAsia="Times New Roman" w:hAnsi="Arial" w:cs="Arial"/>
                <w:color w:val="000000"/>
                <w:sz w:val="20"/>
                <w:szCs w:val="20"/>
                <w:lang w:eastAsia="en-AU"/>
              </w:rPr>
            </w:pPr>
            <w:r w:rsidRPr="00791368">
              <w:rPr>
                <w:rFonts w:ascii="Arial" w:eastAsia="Times New Roman" w:hAnsi="Arial" w:cs="Arial"/>
                <w:color w:val="000000"/>
                <w:sz w:val="20"/>
                <w:szCs w:val="20"/>
                <w:lang w:eastAsia="en-AU"/>
              </w:rPr>
              <w:t>39.3 TCF</w:t>
            </w:r>
          </w:p>
          <w:p w14:paraId="59D57F82" w14:textId="77777777" w:rsidR="00796BBA" w:rsidRPr="00791368" w:rsidRDefault="00796BBA" w:rsidP="008D1C70">
            <w:pPr>
              <w:spacing w:before="100" w:beforeAutospacing="1" w:after="100" w:afterAutospacing="1" w:line="240" w:lineRule="auto"/>
              <w:jc w:val="center"/>
              <w:rPr>
                <w:rFonts w:ascii="Arial" w:eastAsia="Times New Roman" w:hAnsi="Arial" w:cs="Arial"/>
                <w:color w:val="000000"/>
                <w:sz w:val="20"/>
                <w:szCs w:val="20"/>
                <w:lang w:eastAsia="en-AU"/>
              </w:rPr>
            </w:pPr>
            <w:r w:rsidRPr="00791368">
              <w:rPr>
                <w:rFonts w:ascii="Arial" w:eastAsia="Times New Roman" w:hAnsi="Arial" w:cs="Arial"/>
                <w:color w:val="000000"/>
                <w:sz w:val="20"/>
                <w:szCs w:val="20"/>
                <w:lang w:eastAsia="en-AU"/>
              </w:rPr>
              <w:t> </w:t>
            </w:r>
          </w:p>
        </w:tc>
        <w:tc>
          <w:tcPr>
            <w:tcW w:w="1048"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E897F42" w14:textId="77777777" w:rsidR="00796BBA" w:rsidRPr="00791368" w:rsidRDefault="00796BBA" w:rsidP="008D1C70">
            <w:pPr>
              <w:spacing w:after="0" w:line="240" w:lineRule="auto"/>
              <w:jc w:val="center"/>
              <w:rPr>
                <w:rFonts w:ascii="Arial" w:eastAsia="Times New Roman" w:hAnsi="Arial" w:cs="Arial"/>
                <w:color w:val="000000"/>
                <w:sz w:val="20"/>
                <w:szCs w:val="20"/>
                <w:lang w:eastAsia="en-AU"/>
              </w:rPr>
            </w:pPr>
            <w:r w:rsidRPr="00791368">
              <w:rPr>
                <w:rFonts w:ascii="Arial" w:eastAsia="Times New Roman" w:hAnsi="Arial" w:cs="Arial"/>
                <w:color w:val="000000"/>
                <w:sz w:val="20"/>
                <w:szCs w:val="20"/>
                <w:lang w:eastAsia="en-AU"/>
              </w:rPr>
              <w:t xml:space="preserve">15.6 </w:t>
            </w:r>
            <w:proofErr w:type="spellStart"/>
            <w:r w:rsidRPr="00791368">
              <w:rPr>
                <w:rFonts w:ascii="Arial" w:eastAsia="Times New Roman" w:hAnsi="Arial" w:cs="Arial"/>
                <w:color w:val="000000"/>
                <w:sz w:val="20"/>
                <w:szCs w:val="20"/>
                <w:lang w:eastAsia="en-AU"/>
              </w:rPr>
              <w:t>mtpa</w:t>
            </w:r>
            <w:proofErr w:type="spellEnd"/>
          </w:p>
        </w:tc>
        <w:tc>
          <w:tcPr>
            <w:tcW w:w="1628"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BE40070" w14:textId="77777777" w:rsidR="00796BBA" w:rsidRPr="00791368" w:rsidRDefault="00796BBA" w:rsidP="008D1C70">
            <w:pPr>
              <w:spacing w:before="100" w:beforeAutospacing="1" w:after="100" w:afterAutospacing="1" w:line="240" w:lineRule="auto"/>
              <w:jc w:val="center"/>
              <w:rPr>
                <w:rFonts w:ascii="Arial" w:eastAsia="Times New Roman" w:hAnsi="Arial" w:cs="Arial"/>
                <w:color w:val="000000"/>
                <w:sz w:val="20"/>
                <w:szCs w:val="20"/>
                <w:lang w:eastAsia="en-AU"/>
              </w:rPr>
            </w:pPr>
            <w:r w:rsidRPr="00791368">
              <w:rPr>
                <w:rFonts w:ascii="Arial" w:eastAsia="Times New Roman" w:hAnsi="Arial" w:cs="Arial"/>
                <w:color w:val="000000"/>
                <w:sz w:val="20"/>
                <w:szCs w:val="20"/>
                <w:lang w:eastAsia="en-AU"/>
              </w:rPr>
              <w:t>300 TJ/day</w:t>
            </w:r>
            <w:r w:rsidRPr="00791368">
              <w:rPr>
                <w:rFonts w:ascii="Arial" w:eastAsia="Times New Roman" w:hAnsi="Arial" w:cs="Arial"/>
                <w:color w:val="000000"/>
                <w:sz w:val="20"/>
                <w:szCs w:val="20"/>
                <w:lang w:eastAsia="en-AU"/>
              </w:rPr>
              <w:br/>
              <w:t>(2,000 PJ)</w:t>
            </w:r>
          </w:p>
        </w:tc>
        <w:tc>
          <w:tcPr>
            <w:tcW w:w="1307"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4F18D18" w14:textId="77777777" w:rsidR="00796BBA" w:rsidRPr="00791368" w:rsidRDefault="00796BBA" w:rsidP="008D1C70">
            <w:pPr>
              <w:spacing w:after="0" w:line="240" w:lineRule="auto"/>
              <w:jc w:val="center"/>
              <w:rPr>
                <w:rFonts w:ascii="Arial" w:eastAsia="Times New Roman" w:hAnsi="Arial" w:cs="Arial"/>
                <w:color w:val="000000"/>
                <w:sz w:val="20"/>
                <w:szCs w:val="20"/>
                <w:lang w:eastAsia="en-AU"/>
              </w:rPr>
            </w:pPr>
            <w:r w:rsidRPr="00791368">
              <w:rPr>
                <w:rFonts w:ascii="Arial" w:eastAsia="Times New Roman" w:hAnsi="Arial" w:cs="Arial"/>
                <w:color w:val="000000"/>
                <w:sz w:val="20"/>
                <w:szCs w:val="20"/>
                <w:lang w:eastAsia="en-AU"/>
              </w:rPr>
              <w:t>221 PJ</w:t>
            </w:r>
            <w:r w:rsidRPr="00791368">
              <w:rPr>
                <w:rFonts w:ascii="Arial" w:eastAsia="Times New Roman" w:hAnsi="Arial" w:cs="Arial"/>
                <w:color w:val="000000"/>
                <w:sz w:val="20"/>
                <w:szCs w:val="20"/>
                <w:vertAlign w:val="superscript"/>
                <w:lang w:eastAsia="en-AU"/>
              </w:rPr>
              <w:t>2</w:t>
            </w:r>
          </w:p>
        </w:tc>
      </w:tr>
      <w:tr w:rsidR="00796BBA" w:rsidRPr="00791368" w14:paraId="39E6FB79" w14:textId="77777777" w:rsidTr="00526C45">
        <w:trPr>
          <w:trHeight w:val="1377"/>
        </w:trPr>
        <w:tc>
          <w:tcPr>
            <w:tcW w:w="3375"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2F998724" w14:textId="77777777" w:rsidR="00796BBA" w:rsidRPr="00E2103E" w:rsidRDefault="00796BBA" w:rsidP="008D1C70">
            <w:pPr>
              <w:spacing w:after="0" w:line="240" w:lineRule="auto"/>
              <w:rPr>
                <w:rFonts w:ascii="Arial" w:eastAsia="Times New Roman" w:hAnsi="Arial" w:cs="Arial"/>
                <w:color w:val="000000"/>
                <w:sz w:val="20"/>
                <w:szCs w:val="20"/>
                <w:lang w:eastAsia="en-AU"/>
              </w:rPr>
            </w:pPr>
            <w:r w:rsidRPr="00E2103E">
              <w:rPr>
                <w:rFonts w:ascii="Arial" w:hAnsi="Arial" w:cs="Arial"/>
                <w:color w:val="000000"/>
                <w:sz w:val="20"/>
                <w:szCs w:val="20"/>
              </w:rPr>
              <w:t>Pluto Domgas Arrangements</w:t>
            </w:r>
            <w:r w:rsidRPr="00E2103E">
              <w:rPr>
                <w:rFonts w:ascii="Arial" w:hAnsi="Arial" w:cs="Arial"/>
                <w:color w:val="000000"/>
                <w:sz w:val="20"/>
                <w:szCs w:val="20"/>
              </w:rPr>
              <w:br/>
              <w:t>(Pluto, Woodside, 2006)</w:t>
            </w:r>
          </w:p>
        </w:tc>
        <w:tc>
          <w:tcPr>
            <w:tcW w:w="1185"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2FE2463F" w14:textId="77777777" w:rsidR="00796BBA" w:rsidRPr="00E2103E" w:rsidRDefault="00796BBA" w:rsidP="008D1C70">
            <w:pPr>
              <w:spacing w:before="100" w:beforeAutospacing="1" w:after="100" w:afterAutospacing="1" w:line="240" w:lineRule="auto"/>
              <w:jc w:val="center"/>
              <w:rPr>
                <w:rFonts w:ascii="Arial" w:eastAsia="Times New Roman" w:hAnsi="Arial" w:cs="Arial"/>
                <w:color w:val="000000"/>
                <w:sz w:val="20"/>
                <w:szCs w:val="20"/>
                <w:lang w:eastAsia="en-AU"/>
              </w:rPr>
            </w:pPr>
            <w:r w:rsidRPr="00E2103E">
              <w:rPr>
                <w:rFonts w:ascii="Arial" w:hAnsi="Arial" w:cs="Arial"/>
                <w:color w:val="000000"/>
                <w:sz w:val="20"/>
                <w:szCs w:val="20"/>
              </w:rPr>
              <w:t>2.9 TCF</w:t>
            </w:r>
          </w:p>
        </w:tc>
        <w:tc>
          <w:tcPr>
            <w:tcW w:w="1048"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16ADB462" w14:textId="77777777" w:rsidR="00796BBA" w:rsidRPr="00E2103E" w:rsidRDefault="00796BBA" w:rsidP="008D1C70">
            <w:pPr>
              <w:spacing w:after="0" w:line="240" w:lineRule="auto"/>
              <w:jc w:val="center"/>
              <w:rPr>
                <w:rFonts w:ascii="Arial" w:eastAsia="Times New Roman" w:hAnsi="Arial" w:cs="Arial"/>
                <w:color w:val="000000"/>
                <w:sz w:val="20"/>
                <w:szCs w:val="20"/>
                <w:lang w:eastAsia="en-AU"/>
              </w:rPr>
            </w:pPr>
            <w:r w:rsidRPr="00E2103E">
              <w:rPr>
                <w:rFonts w:ascii="Arial" w:hAnsi="Arial" w:cs="Arial"/>
                <w:color w:val="000000"/>
                <w:sz w:val="20"/>
                <w:szCs w:val="20"/>
              </w:rPr>
              <w:t xml:space="preserve">4.9 </w:t>
            </w:r>
            <w:proofErr w:type="spellStart"/>
            <w:r w:rsidRPr="00E2103E">
              <w:rPr>
                <w:rFonts w:ascii="Arial" w:hAnsi="Arial" w:cs="Arial"/>
                <w:color w:val="000000"/>
                <w:sz w:val="20"/>
                <w:szCs w:val="20"/>
              </w:rPr>
              <w:t>mtpa</w:t>
            </w:r>
            <w:proofErr w:type="spellEnd"/>
          </w:p>
        </w:tc>
        <w:tc>
          <w:tcPr>
            <w:tcW w:w="1628"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20EDD0BF" w14:textId="77777777" w:rsidR="00796BBA" w:rsidRPr="00E2103E" w:rsidRDefault="00796BBA" w:rsidP="008D1C70">
            <w:pPr>
              <w:spacing w:before="100" w:beforeAutospacing="1" w:after="100" w:afterAutospacing="1" w:line="240" w:lineRule="auto"/>
              <w:jc w:val="center"/>
              <w:rPr>
                <w:rFonts w:ascii="Arial" w:eastAsia="Times New Roman" w:hAnsi="Arial" w:cs="Arial"/>
                <w:color w:val="000000"/>
                <w:sz w:val="20"/>
                <w:szCs w:val="20"/>
                <w:lang w:eastAsia="en-AU"/>
              </w:rPr>
            </w:pPr>
            <w:r w:rsidRPr="00E2103E">
              <w:rPr>
                <w:rFonts w:ascii="Arial" w:hAnsi="Arial" w:cs="Arial"/>
                <w:color w:val="000000"/>
                <w:sz w:val="20"/>
                <w:szCs w:val="20"/>
              </w:rPr>
              <w:t>115 TJ/day</w:t>
            </w:r>
            <w:r w:rsidRPr="00E2103E">
              <w:rPr>
                <w:rFonts w:ascii="Arial" w:hAnsi="Arial" w:cs="Arial"/>
                <w:color w:val="000000"/>
                <w:sz w:val="20"/>
                <w:szCs w:val="20"/>
                <w:vertAlign w:val="superscript"/>
              </w:rPr>
              <w:t>3</w:t>
            </w:r>
            <w:r w:rsidRPr="00E2103E">
              <w:rPr>
                <w:rFonts w:ascii="Arial" w:hAnsi="Arial" w:cs="Arial"/>
                <w:color w:val="000000"/>
                <w:sz w:val="20"/>
                <w:szCs w:val="20"/>
              </w:rPr>
              <w:br/>
              <w:t>(390 PJ</w:t>
            </w:r>
            <w:r w:rsidRPr="00E2103E">
              <w:rPr>
                <w:rFonts w:ascii="Arial" w:hAnsi="Arial" w:cs="Arial"/>
                <w:color w:val="000000"/>
                <w:sz w:val="20"/>
                <w:szCs w:val="20"/>
                <w:vertAlign w:val="superscript"/>
              </w:rPr>
              <w:t>4</w:t>
            </w:r>
            <w:r w:rsidRPr="00E2103E">
              <w:rPr>
                <w:rFonts w:ascii="Arial" w:hAnsi="Arial" w:cs="Arial"/>
                <w:color w:val="000000"/>
                <w:sz w:val="20"/>
                <w:szCs w:val="20"/>
              </w:rPr>
              <w:t>)</w:t>
            </w:r>
          </w:p>
        </w:tc>
        <w:tc>
          <w:tcPr>
            <w:tcW w:w="1307"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5E6DEB41" w14:textId="77777777" w:rsidR="00796BBA" w:rsidRPr="00E2103E" w:rsidRDefault="00796BBA" w:rsidP="008D1C70">
            <w:pPr>
              <w:spacing w:after="0" w:line="240" w:lineRule="auto"/>
              <w:jc w:val="center"/>
              <w:rPr>
                <w:rFonts w:ascii="Arial" w:eastAsia="Times New Roman" w:hAnsi="Arial" w:cs="Arial"/>
                <w:color w:val="000000"/>
                <w:sz w:val="20"/>
                <w:szCs w:val="20"/>
                <w:lang w:eastAsia="en-AU"/>
              </w:rPr>
            </w:pPr>
            <w:r w:rsidRPr="00E2103E">
              <w:rPr>
                <w:rFonts w:ascii="Arial" w:hAnsi="Arial" w:cs="Arial"/>
                <w:color w:val="000000"/>
                <w:sz w:val="20"/>
                <w:szCs w:val="20"/>
              </w:rPr>
              <w:t>9 PJ</w:t>
            </w:r>
          </w:p>
        </w:tc>
      </w:tr>
      <w:tr w:rsidR="00796BBA" w:rsidRPr="00791368" w14:paraId="2C51A400" w14:textId="77777777" w:rsidTr="00526C45">
        <w:trPr>
          <w:trHeight w:val="1369"/>
        </w:trPr>
        <w:tc>
          <w:tcPr>
            <w:tcW w:w="3375"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6D4A2925" w14:textId="77777777" w:rsidR="00796BBA" w:rsidRPr="00E2103E" w:rsidRDefault="00F03CC5" w:rsidP="008D1C70">
            <w:pPr>
              <w:spacing w:after="0" w:line="240" w:lineRule="auto"/>
              <w:rPr>
                <w:rFonts w:ascii="Arial" w:eastAsia="Times New Roman" w:hAnsi="Arial" w:cs="Arial"/>
                <w:color w:val="000000"/>
                <w:sz w:val="20"/>
                <w:szCs w:val="20"/>
                <w:lang w:eastAsia="en-AU"/>
              </w:rPr>
            </w:pPr>
            <w:hyperlink r:id="rId13" w:history="1">
              <w:r w:rsidR="00796BBA" w:rsidRPr="00E2103E">
                <w:rPr>
                  <w:rStyle w:val="Hyperlink"/>
                  <w:rFonts w:ascii="Arial" w:hAnsi="Arial" w:cs="Arial"/>
                  <w:color w:val="4D4D4D"/>
                  <w:sz w:val="20"/>
                  <w:szCs w:val="20"/>
                </w:rPr>
                <w:t>Pluto Acceleration Domestic Gas Commitment</w:t>
              </w:r>
            </w:hyperlink>
            <w:r w:rsidR="00796BBA" w:rsidRPr="00E2103E">
              <w:rPr>
                <w:rFonts w:ascii="Arial" w:hAnsi="Arial" w:cs="Arial"/>
                <w:color w:val="000000"/>
                <w:sz w:val="20"/>
                <w:szCs w:val="20"/>
              </w:rPr>
              <w:t> Agreement</w:t>
            </w:r>
            <w:r w:rsidR="00796BBA" w:rsidRPr="00E2103E">
              <w:rPr>
                <w:rFonts w:ascii="Arial" w:hAnsi="Arial" w:cs="Arial"/>
                <w:color w:val="000000"/>
                <w:sz w:val="20"/>
                <w:szCs w:val="20"/>
              </w:rPr>
              <w:br/>
              <w:t>(Pluto, Woodside, 2021)</w:t>
            </w:r>
          </w:p>
        </w:tc>
        <w:tc>
          <w:tcPr>
            <w:tcW w:w="1185"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511968A0" w14:textId="77777777" w:rsidR="00796BBA" w:rsidRPr="00E2103E" w:rsidRDefault="00796BBA" w:rsidP="008D1C70">
            <w:pPr>
              <w:spacing w:before="100" w:beforeAutospacing="1" w:after="100" w:afterAutospacing="1" w:line="240" w:lineRule="auto"/>
              <w:jc w:val="center"/>
              <w:rPr>
                <w:rFonts w:ascii="Arial" w:eastAsia="Times New Roman" w:hAnsi="Arial" w:cs="Arial"/>
                <w:color w:val="000000"/>
                <w:sz w:val="20"/>
                <w:szCs w:val="20"/>
                <w:lang w:eastAsia="en-AU"/>
              </w:rPr>
            </w:pPr>
          </w:p>
        </w:tc>
        <w:tc>
          <w:tcPr>
            <w:tcW w:w="1048"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56CFA973" w14:textId="77777777" w:rsidR="00796BBA" w:rsidRPr="00E2103E" w:rsidRDefault="00796BBA" w:rsidP="008D1C70">
            <w:pPr>
              <w:spacing w:after="0" w:line="240" w:lineRule="auto"/>
              <w:jc w:val="center"/>
              <w:rPr>
                <w:rFonts w:ascii="Arial" w:eastAsia="Times New Roman" w:hAnsi="Arial" w:cs="Arial"/>
                <w:color w:val="000000"/>
                <w:sz w:val="20"/>
                <w:szCs w:val="20"/>
                <w:lang w:eastAsia="en-AU"/>
              </w:rPr>
            </w:pPr>
            <w:r w:rsidRPr="00E2103E">
              <w:rPr>
                <w:rFonts w:ascii="Arial" w:hAnsi="Arial" w:cs="Arial"/>
                <w:color w:val="000000"/>
                <w:sz w:val="20"/>
                <w:szCs w:val="20"/>
              </w:rPr>
              <w:t xml:space="preserve">0.5 – 1.0 </w:t>
            </w:r>
            <w:proofErr w:type="spellStart"/>
            <w:r w:rsidRPr="00E2103E">
              <w:rPr>
                <w:rFonts w:ascii="Arial" w:hAnsi="Arial" w:cs="Arial"/>
                <w:color w:val="000000"/>
                <w:sz w:val="20"/>
                <w:szCs w:val="20"/>
              </w:rPr>
              <w:t>mtpa</w:t>
            </w:r>
            <w:proofErr w:type="spellEnd"/>
            <w:r w:rsidRPr="00E2103E">
              <w:rPr>
                <w:rFonts w:ascii="Arial" w:hAnsi="Arial" w:cs="Arial"/>
                <w:color w:val="000000"/>
                <w:sz w:val="20"/>
                <w:szCs w:val="20"/>
              </w:rPr>
              <w:br/>
              <w:t>(3 mt total)</w:t>
            </w:r>
          </w:p>
        </w:tc>
        <w:tc>
          <w:tcPr>
            <w:tcW w:w="1628"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77A48D1F" w14:textId="77777777" w:rsidR="00796BBA" w:rsidRPr="00E2103E" w:rsidRDefault="00796BBA" w:rsidP="008D1C70">
            <w:pPr>
              <w:spacing w:before="100" w:beforeAutospacing="1" w:after="100" w:afterAutospacing="1" w:line="240" w:lineRule="auto"/>
              <w:jc w:val="center"/>
              <w:rPr>
                <w:rFonts w:ascii="Arial" w:eastAsia="Times New Roman" w:hAnsi="Arial" w:cs="Arial"/>
                <w:color w:val="000000"/>
                <w:sz w:val="20"/>
                <w:szCs w:val="20"/>
                <w:lang w:eastAsia="en-AU"/>
              </w:rPr>
            </w:pPr>
            <w:r w:rsidRPr="00E2103E">
              <w:rPr>
                <w:rFonts w:ascii="Arial" w:hAnsi="Arial" w:cs="Arial"/>
                <w:color w:val="000000"/>
                <w:sz w:val="20"/>
                <w:szCs w:val="20"/>
              </w:rPr>
              <w:t>18 TJ/day</w:t>
            </w:r>
            <w:r w:rsidRPr="00E2103E">
              <w:rPr>
                <w:rFonts w:ascii="Arial" w:hAnsi="Arial" w:cs="Arial"/>
                <w:color w:val="000000"/>
                <w:sz w:val="20"/>
                <w:szCs w:val="20"/>
              </w:rPr>
              <w:br/>
              <w:t>(25 PJ)</w:t>
            </w:r>
          </w:p>
        </w:tc>
        <w:tc>
          <w:tcPr>
            <w:tcW w:w="1307"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7EC6D120" w14:textId="77777777" w:rsidR="00796BBA" w:rsidRPr="00E2103E" w:rsidRDefault="00796BBA" w:rsidP="008D1C70">
            <w:pPr>
              <w:spacing w:after="0" w:line="240" w:lineRule="auto"/>
              <w:jc w:val="center"/>
              <w:rPr>
                <w:rFonts w:ascii="Arial" w:eastAsia="Times New Roman" w:hAnsi="Arial" w:cs="Arial"/>
                <w:color w:val="000000"/>
                <w:sz w:val="20"/>
                <w:szCs w:val="20"/>
                <w:lang w:eastAsia="en-AU"/>
              </w:rPr>
            </w:pPr>
            <w:r w:rsidRPr="00E2103E">
              <w:rPr>
                <w:rFonts w:ascii="Arial" w:hAnsi="Arial" w:cs="Arial"/>
                <w:color w:val="000000"/>
                <w:sz w:val="20"/>
                <w:szCs w:val="20"/>
              </w:rPr>
              <w:t>N/A</w:t>
            </w:r>
          </w:p>
        </w:tc>
      </w:tr>
      <w:tr w:rsidR="00796BBA" w:rsidRPr="00791368" w14:paraId="7BFBECEA" w14:textId="77777777" w:rsidTr="00526C45">
        <w:trPr>
          <w:trHeight w:val="1234"/>
        </w:trPr>
        <w:tc>
          <w:tcPr>
            <w:tcW w:w="3375"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530D52B7" w14:textId="77777777" w:rsidR="00796BBA" w:rsidRPr="00E2103E" w:rsidRDefault="00F03CC5" w:rsidP="008D1C70">
            <w:pPr>
              <w:spacing w:after="0" w:line="240" w:lineRule="auto"/>
              <w:rPr>
                <w:rFonts w:ascii="Arial" w:eastAsia="Times New Roman" w:hAnsi="Arial" w:cs="Arial"/>
                <w:color w:val="000000"/>
                <w:sz w:val="20"/>
                <w:szCs w:val="20"/>
                <w:lang w:eastAsia="en-AU"/>
              </w:rPr>
            </w:pPr>
            <w:hyperlink r:id="rId14" w:history="1">
              <w:r w:rsidR="00796BBA" w:rsidRPr="00E2103E">
                <w:rPr>
                  <w:rStyle w:val="Hyperlink"/>
                  <w:rFonts w:ascii="Arial" w:hAnsi="Arial" w:cs="Arial"/>
                  <w:color w:val="4D4D4D"/>
                  <w:sz w:val="20"/>
                  <w:szCs w:val="20"/>
                </w:rPr>
                <w:t>Additional Domestic Gas Commitment Agreement</w:t>
              </w:r>
            </w:hyperlink>
            <w:r w:rsidR="00796BBA" w:rsidRPr="00E2103E">
              <w:rPr>
                <w:rFonts w:ascii="Arial" w:hAnsi="Arial" w:cs="Arial"/>
                <w:color w:val="000000"/>
                <w:sz w:val="20"/>
                <w:szCs w:val="20"/>
              </w:rPr>
              <w:br/>
              <w:t>(Woodside, 2021)</w:t>
            </w:r>
          </w:p>
        </w:tc>
        <w:tc>
          <w:tcPr>
            <w:tcW w:w="1185"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412B1198" w14:textId="77777777" w:rsidR="00796BBA" w:rsidRPr="00E2103E" w:rsidRDefault="00796BBA" w:rsidP="008D1C70">
            <w:pPr>
              <w:spacing w:before="100" w:beforeAutospacing="1" w:after="100" w:afterAutospacing="1" w:line="240" w:lineRule="auto"/>
              <w:jc w:val="center"/>
              <w:rPr>
                <w:rFonts w:ascii="Arial" w:eastAsia="Times New Roman" w:hAnsi="Arial" w:cs="Arial"/>
                <w:color w:val="000000"/>
                <w:sz w:val="20"/>
                <w:szCs w:val="20"/>
                <w:lang w:eastAsia="en-AU"/>
              </w:rPr>
            </w:pPr>
            <w:r w:rsidRPr="00E2103E">
              <w:rPr>
                <w:rFonts w:ascii="Arial" w:hAnsi="Arial" w:cs="Arial"/>
                <w:color w:val="000000"/>
                <w:sz w:val="20"/>
                <w:szCs w:val="20"/>
              </w:rPr>
              <w:t>From NWS gas reserves</w:t>
            </w:r>
          </w:p>
        </w:tc>
        <w:tc>
          <w:tcPr>
            <w:tcW w:w="1048"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2C4EC944" w14:textId="77777777" w:rsidR="00796BBA" w:rsidRPr="00E2103E" w:rsidRDefault="00796BBA" w:rsidP="008D1C70">
            <w:pPr>
              <w:spacing w:after="0" w:line="240" w:lineRule="auto"/>
              <w:jc w:val="center"/>
              <w:rPr>
                <w:rFonts w:ascii="Arial" w:eastAsia="Times New Roman" w:hAnsi="Arial" w:cs="Arial"/>
                <w:color w:val="000000"/>
                <w:sz w:val="20"/>
                <w:szCs w:val="20"/>
                <w:lang w:eastAsia="en-AU"/>
              </w:rPr>
            </w:pPr>
            <w:r w:rsidRPr="00E2103E">
              <w:rPr>
                <w:rFonts w:ascii="Arial" w:hAnsi="Arial" w:cs="Arial"/>
                <w:color w:val="000000"/>
                <w:sz w:val="20"/>
                <w:szCs w:val="20"/>
              </w:rPr>
              <w:t>N/A</w:t>
            </w:r>
          </w:p>
        </w:tc>
        <w:tc>
          <w:tcPr>
            <w:tcW w:w="1628"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658BEF65" w14:textId="77777777" w:rsidR="00796BBA" w:rsidRPr="00E2103E" w:rsidRDefault="00796BBA" w:rsidP="008D1C70">
            <w:pPr>
              <w:spacing w:before="100" w:beforeAutospacing="1" w:after="100" w:afterAutospacing="1" w:line="240" w:lineRule="auto"/>
              <w:jc w:val="center"/>
              <w:rPr>
                <w:rFonts w:ascii="Arial" w:eastAsia="Times New Roman" w:hAnsi="Arial" w:cs="Arial"/>
                <w:color w:val="000000"/>
                <w:sz w:val="20"/>
                <w:szCs w:val="20"/>
                <w:lang w:eastAsia="en-AU"/>
              </w:rPr>
            </w:pPr>
            <w:r w:rsidRPr="00E2103E">
              <w:rPr>
                <w:rFonts w:ascii="Arial" w:hAnsi="Arial" w:cs="Arial"/>
                <w:color w:val="000000"/>
                <w:sz w:val="20"/>
                <w:szCs w:val="20"/>
              </w:rPr>
              <w:t>25 TJ/day</w:t>
            </w:r>
            <w:r w:rsidRPr="00E2103E">
              <w:rPr>
                <w:rFonts w:ascii="Arial" w:hAnsi="Arial" w:cs="Arial"/>
                <w:color w:val="000000"/>
                <w:sz w:val="20"/>
                <w:szCs w:val="20"/>
              </w:rPr>
              <w:br/>
              <w:t>(45.6 PJ</w:t>
            </w:r>
            <w:r w:rsidRPr="00E2103E">
              <w:rPr>
                <w:rFonts w:ascii="Arial" w:hAnsi="Arial" w:cs="Arial"/>
                <w:color w:val="000000"/>
                <w:sz w:val="20"/>
                <w:szCs w:val="20"/>
                <w:vertAlign w:val="superscript"/>
              </w:rPr>
              <w:t>5</w:t>
            </w:r>
            <w:r w:rsidRPr="00E2103E">
              <w:rPr>
                <w:rFonts w:ascii="Arial" w:hAnsi="Arial" w:cs="Arial"/>
                <w:color w:val="000000"/>
                <w:sz w:val="20"/>
                <w:szCs w:val="20"/>
              </w:rPr>
              <w:t>)</w:t>
            </w:r>
          </w:p>
        </w:tc>
        <w:tc>
          <w:tcPr>
            <w:tcW w:w="1307"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446BF0A6" w14:textId="77777777" w:rsidR="00796BBA" w:rsidRPr="00E2103E" w:rsidRDefault="00796BBA" w:rsidP="008D1C70">
            <w:pPr>
              <w:spacing w:after="0" w:line="240" w:lineRule="auto"/>
              <w:jc w:val="center"/>
              <w:rPr>
                <w:rFonts w:ascii="Arial" w:eastAsia="Times New Roman" w:hAnsi="Arial" w:cs="Arial"/>
                <w:color w:val="000000"/>
                <w:sz w:val="20"/>
                <w:szCs w:val="20"/>
                <w:lang w:eastAsia="en-AU"/>
              </w:rPr>
            </w:pPr>
            <w:r w:rsidRPr="00E2103E">
              <w:rPr>
                <w:rFonts w:ascii="Arial" w:hAnsi="Arial" w:cs="Arial"/>
                <w:color w:val="000000"/>
                <w:sz w:val="20"/>
                <w:szCs w:val="20"/>
              </w:rPr>
              <w:t>N/A</w:t>
            </w:r>
          </w:p>
        </w:tc>
      </w:tr>
      <w:tr w:rsidR="00796BBA" w:rsidRPr="00791368" w14:paraId="678492F1" w14:textId="77777777" w:rsidTr="00526C45">
        <w:trPr>
          <w:trHeight w:val="1521"/>
        </w:trPr>
        <w:tc>
          <w:tcPr>
            <w:tcW w:w="3375"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0ABCBA55" w14:textId="77777777" w:rsidR="00796BBA" w:rsidRPr="00E2103E" w:rsidRDefault="00796BBA" w:rsidP="008D1C70">
            <w:pPr>
              <w:spacing w:after="0" w:line="240" w:lineRule="auto"/>
              <w:rPr>
                <w:rFonts w:ascii="Arial" w:eastAsia="Times New Roman" w:hAnsi="Arial" w:cs="Arial"/>
                <w:color w:val="000000"/>
                <w:sz w:val="20"/>
                <w:szCs w:val="20"/>
                <w:lang w:eastAsia="en-AU"/>
              </w:rPr>
            </w:pPr>
            <w:r w:rsidRPr="00E2103E">
              <w:rPr>
                <w:rFonts w:ascii="Arial" w:hAnsi="Arial" w:cs="Arial"/>
                <w:color w:val="000000"/>
                <w:sz w:val="20"/>
                <w:szCs w:val="20"/>
              </w:rPr>
              <w:t>Ashburton North State Development Agreement (Wheatstone Project)</w:t>
            </w:r>
            <w:r w:rsidRPr="00E2103E">
              <w:rPr>
                <w:rFonts w:ascii="Arial" w:hAnsi="Arial" w:cs="Arial"/>
                <w:color w:val="000000"/>
                <w:sz w:val="20"/>
                <w:szCs w:val="20"/>
              </w:rPr>
              <w:br/>
              <w:t>(Wheatstone, Chevron, 2011)</w:t>
            </w:r>
          </w:p>
        </w:tc>
        <w:tc>
          <w:tcPr>
            <w:tcW w:w="1185"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054502F5" w14:textId="77777777" w:rsidR="00796BBA" w:rsidRPr="00E2103E" w:rsidRDefault="00796BBA" w:rsidP="008D1C70">
            <w:pPr>
              <w:spacing w:before="100" w:beforeAutospacing="1" w:after="100" w:afterAutospacing="1" w:line="240" w:lineRule="auto"/>
              <w:jc w:val="center"/>
              <w:rPr>
                <w:rFonts w:ascii="Arial" w:eastAsia="Times New Roman" w:hAnsi="Arial" w:cs="Arial"/>
                <w:color w:val="000000"/>
                <w:sz w:val="20"/>
                <w:szCs w:val="20"/>
                <w:lang w:eastAsia="en-AU"/>
              </w:rPr>
            </w:pPr>
            <w:r w:rsidRPr="00E2103E">
              <w:rPr>
                <w:rFonts w:ascii="Arial" w:hAnsi="Arial" w:cs="Arial"/>
                <w:color w:val="000000"/>
                <w:sz w:val="20"/>
                <w:szCs w:val="20"/>
              </w:rPr>
              <w:t>10.8 TCF</w:t>
            </w:r>
          </w:p>
        </w:tc>
        <w:tc>
          <w:tcPr>
            <w:tcW w:w="1048"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438F2DB2" w14:textId="77777777" w:rsidR="00796BBA" w:rsidRPr="00E2103E" w:rsidRDefault="00796BBA" w:rsidP="008D1C70">
            <w:pPr>
              <w:spacing w:after="0" w:line="240" w:lineRule="auto"/>
              <w:jc w:val="center"/>
              <w:rPr>
                <w:rFonts w:ascii="Arial" w:eastAsia="Times New Roman" w:hAnsi="Arial" w:cs="Arial"/>
                <w:color w:val="000000"/>
                <w:sz w:val="20"/>
                <w:szCs w:val="20"/>
                <w:lang w:eastAsia="en-AU"/>
              </w:rPr>
            </w:pPr>
            <w:r w:rsidRPr="00E2103E">
              <w:rPr>
                <w:rFonts w:ascii="Arial" w:hAnsi="Arial" w:cs="Arial"/>
                <w:color w:val="000000"/>
                <w:sz w:val="20"/>
                <w:szCs w:val="20"/>
              </w:rPr>
              <w:t xml:space="preserve">8.9 </w:t>
            </w:r>
            <w:proofErr w:type="spellStart"/>
            <w:r w:rsidRPr="00E2103E">
              <w:rPr>
                <w:rFonts w:ascii="Arial" w:hAnsi="Arial" w:cs="Arial"/>
                <w:color w:val="000000"/>
                <w:sz w:val="20"/>
                <w:szCs w:val="20"/>
              </w:rPr>
              <w:t>mtpa</w:t>
            </w:r>
            <w:proofErr w:type="spellEnd"/>
          </w:p>
        </w:tc>
        <w:tc>
          <w:tcPr>
            <w:tcW w:w="1628"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66D8E472" w14:textId="77777777" w:rsidR="00796BBA" w:rsidRPr="00E2103E" w:rsidRDefault="00796BBA" w:rsidP="008D1C70">
            <w:pPr>
              <w:spacing w:before="100" w:beforeAutospacing="1" w:after="100" w:afterAutospacing="1" w:line="240" w:lineRule="auto"/>
              <w:jc w:val="center"/>
              <w:rPr>
                <w:rFonts w:ascii="Arial" w:eastAsia="Times New Roman" w:hAnsi="Arial" w:cs="Arial"/>
                <w:color w:val="000000"/>
                <w:sz w:val="20"/>
                <w:szCs w:val="20"/>
                <w:lang w:eastAsia="en-AU"/>
              </w:rPr>
            </w:pPr>
            <w:r w:rsidRPr="00E2103E">
              <w:rPr>
                <w:rFonts w:ascii="Arial" w:hAnsi="Arial" w:cs="Arial"/>
                <w:color w:val="000000"/>
                <w:sz w:val="20"/>
                <w:szCs w:val="20"/>
              </w:rPr>
              <w:t>200 TJ/day</w:t>
            </w:r>
            <w:r w:rsidRPr="00E2103E">
              <w:rPr>
                <w:rFonts w:ascii="Arial" w:hAnsi="Arial" w:cs="Arial"/>
                <w:color w:val="000000"/>
                <w:sz w:val="20"/>
                <w:szCs w:val="20"/>
              </w:rPr>
              <w:br/>
              <w:t>(1,530 PJ)</w:t>
            </w:r>
          </w:p>
        </w:tc>
        <w:tc>
          <w:tcPr>
            <w:tcW w:w="1307"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29C0E100" w14:textId="77777777" w:rsidR="00796BBA" w:rsidRPr="00E2103E" w:rsidRDefault="00796BBA" w:rsidP="008D1C70">
            <w:pPr>
              <w:spacing w:after="0" w:line="240" w:lineRule="auto"/>
              <w:jc w:val="center"/>
              <w:rPr>
                <w:rFonts w:ascii="Arial" w:eastAsia="Times New Roman" w:hAnsi="Arial" w:cs="Arial"/>
                <w:color w:val="000000"/>
                <w:sz w:val="20"/>
                <w:szCs w:val="20"/>
                <w:lang w:eastAsia="en-AU"/>
              </w:rPr>
            </w:pPr>
            <w:r w:rsidRPr="00E2103E">
              <w:rPr>
                <w:rFonts w:ascii="Arial" w:hAnsi="Arial" w:cs="Arial"/>
                <w:color w:val="000000"/>
                <w:sz w:val="20"/>
                <w:szCs w:val="20"/>
              </w:rPr>
              <w:t>81 PJ</w:t>
            </w:r>
          </w:p>
        </w:tc>
      </w:tr>
      <w:tr w:rsidR="00796BBA" w:rsidRPr="00791368" w14:paraId="33D06B36" w14:textId="77777777" w:rsidTr="00526C45">
        <w:trPr>
          <w:trHeight w:val="1785"/>
        </w:trPr>
        <w:tc>
          <w:tcPr>
            <w:tcW w:w="3375"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64060E80" w14:textId="77777777" w:rsidR="00796BBA" w:rsidRPr="00E2103E" w:rsidRDefault="00F03CC5" w:rsidP="008D1C70">
            <w:pPr>
              <w:spacing w:after="0" w:line="240" w:lineRule="auto"/>
              <w:rPr>
                <w:rFonts w:ascii="Arial" w:hAnsi="Arial" w:cs="Arial"/>
                <w:color w:val="000000"/>
                <w:sz w:val="20"/>
                <w:szCs w:val="20"/>
              </w:rPr>
            </w:pPr>
            <w:hyperlink r:id="rId15" w:history="1">
              <w:r w:rsidR="00796BBA" w:rsidRPr="0085142A">
                <w:rPr>
                  <w:rStyle w:val="Hyperlink"/>
                  <w:rFonts w:ascii="Arial" w:hAnsi="Arial" w:cs="Arial"/>
                  <w:color w:val="auto"/>
                  <w:sz w:val="20"/>
                  <w:szCs w:val="20"/>
                </w:rPr>
                <w:t>Waitsia Joint Venture Domestic Gas Commitment Agreement</w:t>
              </w:r>
            </w:hyperlink>
            <w:r w:rsidR="00796BBA" w:rsidRPr="00951DB5">
              <w:rPr>
                <w:rFonts w:ascii="Arial" w:hAnsi="Arial" w:cs="Arial"/>
                <w:sz w:val="20"/>
                <w:szCs w:val="20"/>
              </w:rPr>
              <w:br/>
              <w:t>(Waitsia, Mitsui E&amp;P, Australia</w:t>
            </w:r>
            <w:r w:rsidR="00796BBA" w:rsidRPr="00951DB5">
              <w:rPr>
                <w:rFonts w:ascii="Arial" w:hAnsi="Arial" w:cs="Arial"/>
                <w:sz w:val="20"/>
                <w:szCs w:val="20"/>
                <w:vertAlign w:val="superscript"/>
              </w:rPr>
              <w:t>7 </w:t>
            </w:r>
            <w:r w:rsidR="00796BBA" w:rsidRPr="00951DB5">
              <w:rPr>
                <w:rFonts w:ascii="Arial" w:hAnsi="Arial" w:cs="Arial"/>
                <w:sz w:val="20"/>
                <w:szCs w:val="20"/>
              </w:rPr>
              <w:t>, 2020)</w:t>
            </w:r>
          </w:p>
        </w:tc>
        <w:tc>
          <w:tcPr>
            <w:tcW w:w="1185"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5767345E" w14:textId="77777777" w:rsidR="00796BBA" w:rsidRPr="00E2103E" w:rsidRDefault="00796BBA" w:rsidP="008D1C70">
            <w:pPr>
              <w:spacing w:before="100" w:beforeAutospacing="1" w:after="100" w:afterAutospacing="1" w:line="240" w:lineRule="auto"/>
              <w:jc w:val="center"/>
              <w:rPr>
                <w:rFonts w:ascii="Arial" w:hAnsi="Arial" w:cs="Arial"/>
                <w:color w:val="000000"/>
                <w:sz w:val="20"/>
                <w:szCs w:val="20"/>
              </w:rPr>
            </w:pPr>
            <w:r w:rsidRPr="00E2103E">
              <w:rPr>
                <w:rFonts w:ascii="Arial" w:hAnsi="Arial" w:cs="Arial"/>
                <w:color w:val="000000"/>
                <w:sz w:val="20"/>
                <w:szCs w:val="20"/>
              </w:rPr>
              <w:t>0.8 TCF</w:t>
            </w:r>
          </w:p>
        </w:tc>
        <w:tc>
          <w:tcPr>
            <w:tcW w:w="1048"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2D50DB42" w14:textId="77777777" w:rsidR="00796BBA" w:rsidRPr="00E2103E" w:rsidRDefault="00796BBA" w:rsidP="008D1C70">
            <w:pPr>
              <w:spacing w:after="0" w:line="240" w:lineRule="auto"/>
              <w:jc w:val="center"/>
              <w:rPr>
                <w:rFonts w:ascii="Arial" w:hAnsi="Arial" w:cs="Arial"/>
                <w:color w:val="000000"/>
                <w:sz w:val="20"/>
                <w:szCs w:val="20"/>
              </w:rPr>
            </w:pPr>
            <w:r w:rsidRPr="00E2103E">
              <w:rPr>
                <w:rFonts w:ascii="Arial" w:hAnsi="Arial" w:cs="Arial"/>
                <w:color w:val="000000"/>
                <w:sz w:val="20"/>
                <w:szCs w:val="20"/>
              </w:rPr>
              <w:t>1.5 </w:t>
            </w:r>
            <w:proofErr w:type="spellStart"/>
            <w:r w:rsidRPr="00E2103E">
              <w:rPr>
                <w:rFonts w:ascii="Arial" w:hAnsi="Arial" w:cs="Arial"/>
                <w:color w:val="000000"/>
                <w:sz w:val="20"/>
                <w:szCs w:val="20"/>
              </w:rPr>
              <w:t>mtpa</w:t>
            </w:r>
            <w:proofErr w:type="spellEnd"/>
            <w:r w:rsidRPr="00E2103E">
              <w:rPr>
                <w:rFonts w:ascii="Arial" w:hAnsi="Arial" w:cs="Arial"/>
                <w:color w:val="000000"/>
                <w:sz w:val="20"/>
                <w:szCs w:val="20"/>
              </w:rPr>
              <w:br/>
              <w:t>(7.5 mt total)</w:t>
            </w:r>
          </w:p>
        </w:tc>
        <w:tc>
          <w:tcPr>
            <w:tcW w:w="1628"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11F8360A" w14:textId="77777777" w:rsidR="00796BBA" w:rsidRPr="00E2103E" w:rsidRDefault="00796BBA" w:rsidP="008D1C70">
            <w:pPr>
              <w:spacing w:before="100" w:beforeAutospacing="1" w:after="100" w:afterAutospacing="1" w:line="240" w:lineRule="auto"/>
              <w:jc w:val="center"/>
              <w:rPr>
                <w:rFonts w:ascii="Arial" w:hAnsi="Arial" w:cs="Arial"/>
                <w:color w:val="000000"/>
                <w:sz w:val="20"/>
                <w:szCs w:val="20"/>
              </w:rPr>
            </w:pPr>
            <w:r w:rsidRPr="00E2103E">
              <w:rPr>
                <w:rFonts w:ascii="Arial" w:hAnsi="Arial" w:cs="Arial"/>
                <w:color w:val="000000"/>
                <w:sz w:val="20"/>
                <w:szCs w:val="20"/>
              </w:rPr>
              <w:t>20 TJ/day</w:t>
            </w:r>
            <w:r w:rsidRPr="00E2103E">
              <w:rPr>
                <w:rFonts w:ascii="Arial" w:hAnsi="Arial" w:cs="Arial"/>
                <w:color w:val="000000"/>
                <w:sz w:val="20"/>
                <w:szCs w:val="20"/>
              </w:rPr>
              <w:br/>
              <w:t>(62 </w:t>
            </w:r>
            <w:proofErr w:type="gramStart"/>
            <w:r w:rsidRPr="00E2103E">
              <w:rPr>
                <w:rFonts w:ascii="Arial" w:hAnsi="Arial" w:cs="Arial"/>
                <w:color w:val="000000"/>
                <w:sz w:val="20"/>
                <w:szCs w:val="20"/>
              </w:rPr>
              <w:t>PJ )</w:t>
            </w:r>
            <w:proofErr w:type="gramEnd"/>
          </w:p>
        </w:tc>
        <w:tc>
          <w:tcPr>
            <w:tcW w:w="1307"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7A3DE6E9" w14:textId="77777777" w:rsidR="00796BBA" w:rsidRPr="00E2103E" w:rsidRDefault="00796BBA" w:rsidP="008D1C70">
            <w:pPr>
              <w:spacing w:after="0" w:line="240" w:lineRule="auto"/>
              <w:jc w:val="center"/>
              <w:rPr>
                <w:rFonts w:ascii="Arial" w:hAnsi="Arial" w:cs="Arial"/>
                <w:color w:val="000000"/>
                <w:sz w:val="20"/>
                <w:szCs w:val="20"/>
              </w:rPr>
            </w:pPr>
            <w:r w:rsidRPr="00E2103E">
              <w:rPr>
                <w:rFonts w:ascii="Arial" w:hAnsi="Arial" w:cs="Arial"/>
                <w:color w:val="000000"/>
                <w:sz w:val="20"/>
                <w:szCs w:val="20"/>
              </w:rPr>
              <w:t>2.4 PJ</w:t>
            </w:r>
          </w:p>
        </w:tc>
      </w:tr>
      <w:tr w:rsidR="00796BBA" w:rsidRPr="00791368" w14:paraId="08083647" w14:textId="77777777" w:rsidTr="00526C45">
        <w:trPr>
          <w:trHeight w:val="1796"/>
        </w:trPr>
        <w:tc>
          <w:tcPr>
            <w:tcW w:w="3375"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5DADC61D" w14:textId="77777777" w:rsidR="00796BBA" w:rsidRPr="00E2103E" w:rsidRDefault="00F03CC5" w:rsidP="008D1C70">
            <w:pPr>
              <w:spacing w:after="0" w:line="240" w:lineRule="auto"/>
              <w:rPr>
                <w:rFonts w:ascii="Arial" w:hAnsi="Arial" w:cs="Arial"/>
                <w:color w:val="000000"/>
                <w:sz w:val="20"/>
                <w:szCs w:val="20"/>
              </w:rPr>
            </w:pPr>
            <w:hyperlink r:id="rId16" w:history="1">
              <w:proofErr w:type="gramStart"/>
              <w:r w:rsidR="00796BBA" w:rsidRPr="0085142A">
                <w:rPr>
                  <w:rStyle w:val="Hyperlink"/>
                  <w:rFonts w:ascii="Arial" w:hAnsi="Arial" w:cs="Arial"/>
                  <w:color w:val="auto"/>
                  <w:sz w:val="20"/>
                  <w:szCs w:val="20"/>
                </w:rPr>
                <w:t>North West</w:t>
              </w:r>
              <w:proofErr w:type="gramEnd"/>
              <w:r w:rsidR="00796BBA" w:rsidRPr="0085142A">
                <w:rPr>
                  <w:rStyle w:val="Hyperlink"/>
                  <w:rFonts w:ascii="Arial" w:hAnsi="Arial" w:cs="Arial"/>
                  <w:color w:val="auto"/>
                  <w:sz w:val="20"/>
                  <w:szCs w:val="20"/>
                </w:rPr>
                <w:t xml:space="preserve"> Gas Development (Woodside) Agreement Amendment Act 2015</w:t>
              </w:r>
            </w:hyperlink>
            <w:r w:rsidR="00796BBA" w:rsidRPr="00951DB5">
              <w:rPr>
                <w:rFonts w:ascii="Arial" w:hAnsi="Arial" w:cs="Arial"/>
                <w:sz w:val="20"/>
                <w:szCs w:val="20"/>
              </w:rPr>
              <w:br/>
              <w:t>(NWS, Woodside</w:t>
            </w:r>
            <w:r w:rsidR="00796BBA" w:rsidRPr="00E2103E">
              <w:rPr>
                <w:rFonts w:ascii="Arial" w:hAnsi="Arial" w:cs="Arial"/>
                <w:color w:val="000000"/>
                <w:sz w:val="20"/>
                <w:szCs w:val="20"/>
              </w:rPr>
              <w:t>, 2015)</w:t>
            </w:r>
          </w:p>
        </w:tc>
        <w:tc>
          <w:tcPr>
            <w:tcW w:w="1185"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6E963C05" w14:textId="77777777" w:rsidR="00796BBA" w:rsidRPr="00E2103E" w:rsidRDefault="00796BBA" w:rsidP="008D1C70">
            <w:pPr>
              <w:spacing w:before="100" w:beforeAutospacing="1" w:after="100" w:afterAutospacing="1" w:line="240" w:lineRule="auto"/>
              <w:jc w:val="center"/>
              <w:rPr>
                <w:rFonts w:ascii="Arial" w:hAnsi="Arial" w:cs="Arial"/>
                <w:color w:val="000000"/>
                <w:sz w:val="20"/>
                <w:szCs w:val="20"/>
              </w:rPr>
            </w:pPr>
            <w:r w:rsidRPr="00E2103E">
              <w:rPr>
                <w:rFonts w:ascii="Arial" w:hAnsi="Arial" w:cs="Arial"/>
                <w:color w:val="000000"/>
                <w:sz w:val="20"/>
                <w:szCs w:val="20"/>
              </w:rPr>
              <w:t>7.6 TCF</w:t>
            </w:r>
          </w:p>
        </w:tc>
        <w:tc>
          <w:tcPr>
            <w:tcW w:w="1048"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148984D4" w14:textId="77777777" w:rsidR="00796BBA" w:rsidRPr="00E2103E" w:rsidRDefault="00796BBA" w:rsidP="008D1C70">
            <w:pPr>
              <w:spacing w:after="0" w:line="240" w:lineRule="auto"/>
              <w:jc w:val="center"/>
              <w:rPr>
                <w:rFonts w:ascii="Arial" w:hAnsi="Arial" w:cs="Arial"/>
                <w:color w:val="000000"/>
                <w:sz w:val="20"/>
                <w:szCs w:val="20"/>
              </w:rPr>
            </w:pPr>
            <w:r w:rsidRPr="00E2103E">
              <w:rPr>
                <w:rFonts w:ascii="Arial" w:hAnsi="Arial" w:cs="Arial"/>
                <w:color w:val="000000"/>
                <w:sz w:val="20"/>
                <w:szCs w:val="20"/>
              </w:rPr>
              <w:t xml:space="preserve">16.9 </w:t>
            </w:r>
            <w:proofErr w:type="spellStart"/>
            <w:r w:rsidRPr="00E2103E">
              <w:rPr>
                <w:rFonts w:ascii="Arial" w:hAnsi="Arial" w:cs="Arial"/>
                <w:color w:val="000000"/>
                <w:sz w:val="20"/>
                <w:szCs w:val="20"/>
              </w:rPr>
              <w:t>mtpa</w:t>
            </w:r>
            <w:proofErr w:type="spellEnd"/>
          </w:p>
        </w:tc>
        <w:tc>
          <w:tcPr>
            <w:tcW w:w="1628"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7AB979FA" w14:textId="77777777" w:rsidR="00796BBA" w:rsidRPr="00E2103E" w:rsidRDefault="00796BBA" w:rsidP="008D1C70">
            <w:pPr>
              <w:spacing w:before="100" w:beforeAutospacing="1" w:after="100" w:afterAutospacing="1" w:line="240" w:lineRule="auto"/>
              <w:jc w:val="center"/>
              <w:rPr>
                <w:rFonts w:ascii="Arial" w:hAnsi="Arial" w:cs="Arial"/>
                <w:color w:val="000000"/>
                <w:sz w:val="20"/>
                <w:szCs w:val="20"/>
              </w:rPr>
            </w:pPr>
            <w:r w:rsidRPr="00E2103E">
              <w:rPr>
                <w:rFonts w:ascii="Arial" w:hAnsi="Arial" w:cs="Arial"/>
                <w:color w:val="000000"/>
                <w:sz w:val="20"/>
                <w:szCs w:val="20"/>
              </w:rPr>
              <w:t>90 TJ/day</w:t>
            </w:r>
            <w:r w:rsidRPr="00E2103E">
              <w:rPr>
                <w:rFonts w:ascii="Arial" w:hAnsi="Arial" w:cs="Arial"/>
                <w:color w:val="000000"/>
                <w:sz w:val="20"/>
                <w:szCs w:val="20"/>
                <w:vertAlign w:val="superscript"/>
              </w:rPr>
              <w:t>6</w:t>
            </w:r>
            <w:r w:rsidRPr="00E2103E">
              <w:rPr>
                <w:rFonts w:ascii="Arial" w:hAnsi="Arial" w:cs="Arial"/>
                <w:color w:val="000000"/>
                <w:sz w:val="20"/>
                <w:szCs w:val="20"/>
              </w:rPr>
              <w:br/>
              <w:t>(660 PJ )</w:t>
            </w:r>
            <w:r w:rsidRPr="00E2103E">
              <w:rPr>
                <w:rFonts w:ascii="Arial" w:hAnsi="Arial" w:cs="Arial"/>
                <w:color w:val="000000"/>
                <w:sz w:val="20"/>
                <w:szCs w:val="20"/>
                <w:vertAlign w:val="superscript"/>
              </w:rPr>
              <w:t>6</w:t>
            </w:r>
          </w:p>
        </w:tc>
        <w:tc>
          <w:tcPr>
            <w:tcW w:w="1307"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3889582B" w14:textId="77777777" w:rsidR="00796BBA" w:rsidRPr="00E2103E" w:rsidRDefault="00796BBA" w:rsidP="008D1C70">
            <w:pPr>
              <w:spacing w:after="0" w:line="240" w:lineRule="auto"/>
              <w:jc w:val="center"/>
              <w:rPr>
                <w:rFonts w:ascii="Arial" w:hAnsi="Arial" w:cs="Arial"/>
                <w:color w:val="000000"/>
                <w:sz w:val="20"/>
                <w:szCs w:val="20"/>
              </w:rPr>
            </w:pPr>
            <w:r w:rsidRPr="00E2103E">
              <w:rPr>
                <w:rFonts w:ascii="Arial" w:hAnsi="Arial" w:cs="Arial"/>
                <w:color w:val="000000"/>
                <w:sz w:val="20"/>
                <w:szCs w:val="20"/>
              </w:rPr>
              <w:t>76 PJ</w:t>
            </w:r>
            <w:r w:rsidRPr="00E2103E">
              <w:rPr>
                <w:rFonts w:ascii="Arial" w:hAnsi="Arial" w:cs="Arial"/>
                <w:color w:val="000000"/>
                <w:sz w:val="20"/>
                <w:szCs w:val="20"/>
                <w:vertAlign w:val="superscript"/>
              </w:rPr>
              <w:t>6</w:t>
            </w:r>
          </w:p>
        </w:tc>
      </w:tr>
    </w:tbl>
    <w:p w14:paraId="3E16EE4D" w14:textId="77777777" w:rsidR="00796BBA" w:rsidRPr="00951DB5" w:rsidRDefault="00796BBA" w:rsidP="008D1C70">
      <w:pPr>
        <w:rPr>
          <w:color w:val="FF0000"/>
        </w:rPr>
      </w:pPr>
    </w:p>
    <w:bookmarkEnd w:id="0"/>
    <w:p w14:paraId="565ED3DF" w14:textId="77777777" w:rsidR="00F3131A" w:rsidRDefault="00F3131A" w:rsidP="008D1C70"/>
    <w:sectPr w:rsidR="00F313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D376" w14:textId="77777777" w:rsidR="00B25868" w:rsidRDefault="00B25868" w:rsidP="00796BBA">
      <w:pPr>
        <w:spacing w:after="0" w:line="240" w:lineRule="auto"/>
      </w:pPr>
      <w:r>
        <w:separator/>
      </w:r>
    </w:p>
  </w:endnote>
  <w:endnote w:type="continuationSeparator" w:id="0">
    <w:p w14:paraId="64FB393F" w14:textId="77777777" w:rsidR="00B25868" w:rsidRDefault="00B25868" w:rsidP="0079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27B1" w14:textId="58D8BF5F" w:rsidR="008D1C70" w:rsidRPr="008D1C70" w:rsidRDefault="008D1C70" w:rsidP="008D1C70">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4421" w14:textId="77777777" w:rsidR="00B25868" w:rsidRDefault="00B25868" w:rsidP="00796BBA">
      <w:pPr>
        <w:spacing w:after="0" w:line="240" w:lineRule="auto"/>
      </w:pPr>
      <w:r>
        <w:separator/>
      </w:r>
    </w:p>
  </w:footnote>
  <w:footnote w:type="continuationSeparator" w:id="0">
    <w:p w14:paraId="1D745421" w14:textId="77777777" w:rsidR="00B25868" w:rsidRDefault="00B25868" w:rsidP="00796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7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796BBA" w:rsidRPr="00895B93" w14:paraId="2C247296" w14:textId="77777777" w:rsidTr="00526C45">
      <w:trPr>
        <w:trHeight w:val="50"/>
        <w:jc w:val="right"/>
      </w:trPr>
      <w:tc>
        <w:tcPr>
          <w:tcW w:w="9378" w:type="dxa"/>
          <w:vAlign w:val="center"/>
        </w:tcPr>
        <w:p w14:paraId="431EB418" w14:textId="77777777" w:rsidR="00796BBA" w:rsidRPr="00831B4A" w:rsidRDefault="00796BBA" w:rsidP="00796BBA">
          <w:pPr>
            <w:ind w:left="-108" w:right="34"/>
            <w:jc w:val="right"/>
            <w:rPr>
              <w:rFonts w:asciiTheme="minorHAnsi" w:hAnsiTheme="minorHAnsi" w:cs="Arial"/>
              <w:b/>
              <w:color w:val="002060"/>
              <w:sz w:val="18"/>
              <w:szCs w:val="18"/>
            </w:rPr>
          </w:pPr>
        </w:p>
        <w:p w14:paraId="0BEFD8CF" w14:textId="77777777" w:rsidR="00796BBA" w:rsidRPr="00831B4A" w:rsidRDefault="00796BBA" w:rsidP="00796BBA">
          <w:pPr>
            <w:ind w:left="-108" w:right="34"/>
            <w:jc w:val="right"/>
            <w:rPr>
              <w:rFonts w:asciiTheme="minorHAnsi" w:hAnsiTheme="minorHAnsi" w:cs="Arial"/>
              <w:b/>
              <w:color w:val="002060"/>
              <w:sz w:val="18"/>
              <w:szCs w:val="18"/>
            </w:rPr>
          </w:pPr>
        </w:p>
        <w:p w14:paraId="0B5D39BF" w14:textId="77777777" w:rsidR="00796BBA" w:rsidRPr="00831B4A" w:rsidRDefault="00796BBA" w:rsidP="00796BBA">
          <w:pPr>
            <w:ind w:left="-108" w:right="34"/>
            <w:jc w:val="right"/>
            <w:rPr>
              <w:rFonts w:asciiTheme="minorHAnsi" w:hAnsiTheme="minorHAnsi" w:cs="Arial"/>
              <w:b/>
              <w:color w:val="002060"/>
              <w:sz w:val="18"/>
              <w:szCs w:val="18"/>
            </w:rPr>
          </w:pPr>
        </w:p>
        <w:p w14:paraId="127CFEE0" w14:textId="77777777" w:rsidR="00796BBA" w:rsidRPr="00831B4A" w:rsidRDefault="00796BBA" w:rsidP="00796BBA">
          <w:pPr>
            <w:ind w:left="-108" w:right="34"/>
            <w:jc w:val="right"/>
            <w:rPr>
              <w:rFonts w:asciiTheme="minorHAnsi" w:hAnsiTheme="minorHAnsi" w:cs="Arial"/>
              <w:b/>
              <w:color w:val="002060"/>
              <w:sz w:val="18"/>
              <w:szCs w:val="18"/>
            </w:rPr>
          </w:pPr>
        </w:p>
        <w:p w14:paraId="604A8A79" w14:textId="77777777" w:rsidR="00796BBA" w:rsidRPr="00831B4A" w:rsidRDefault="00796BBA" w:rsidP="00796BBA">
          <w:pPr>
            <w:ind w:left="-108" w:right="34"/>
            <w:jc w:val="right"/>
            <w:rPr>
              <w:rFonts w:asciiTheme="minorHAnsi" w:hAnsiTheme="minorHAnsi" w:cs="Arial"/>
              <w:b/>
              <w:color w:val="002060"/>
              <w:sz w:val="18"/>
              <w:szCs w:val="18"/>
            </w:rPr>
          </w:pPr>
        </w:p>
        <w:p w14:paraId="26AF3F84" w14:textId="77777777" w:rsidR="00796BBA" w:rsidRPr="00831B4A" w:rsidRDefault="00796BBA" w:rsidP="00796BBA">
          <w:pPr>
            <w:ind w:left="-108" w:right="34"/>
            <w:jc w:val="right"/>
            <w:rPr>
              <w:rFonts w:asciiTheme="minorHAnsi" w:hAnsiTheme="minorHAnsi" w:cs="Arial"/>
              <w:color w:val="002060"/>
              <w:sz w:val="18"/>
              <w:szCs w:val="18"/>
            </w:rPr>
          </w:pPr>
          <w:r w:rsidRPr="00831B4A">
            <w:rPr>
              <w:rFonts w:asciiTheme="minorHAnsi" w:hAnsiTheme="minorHAnsi" w:cs="Arial"/>
              <w:b/>
              <w:color w:val="002060"/>
              <w:sz w:val="18"/>
              <w:szCs w:val="18"/>
            </w:rPr>
            <w:t>Domestic Gas Alliance</w:t>
          </w:r>
        </w:p>
      </w:tc>
    </w:tr>
    <w:tr w:rsidR="00796BBA" w:rsidRPr="00895B93" w14:paraId="52292BD4" w14:textId="77777777" w:rsidTr="00526C45">
      <w:trPr>
        <w:trHeight w:val="227"/>
        <w:jc w:val="right"/>
      </w:trPr>
      <w:tc>
        <w:tcPr>
          <w:tcW w:w="9378" w:type="dxa"/>
          <w:vAlign w:val="center"/>
        </w:tcPr>
        <w:p w14:paraId="0D4CB0D9" w14:textId="77777777" w:rsidR="00796BBA" w:rsidRPr="00831B4A" w:rsidRDefault="00796BBA" w:rsidP="00796BBA">
          <w:pPr>
            <w:ind w:left="-108" w:right="34"/>
            <w:jc w:val="right"/>
            <w:rPr>
              <w:rFonts w:asciiTheme="minorHAnsi" w:hAnsiTheme="minorHAnsi" w:cs="Arial"/>
              <w:color w:val="002060"/>
              <w:sz w:val="18"/>
              <w:szCs w:val="18"/>
            </w:rPr>
          </w:pPr>
          <w:r w:rsidRPr="00831B4A">
            <w:rPr>
              <w:rFonts w:asciiTheme="minorHAnsi" w:hAnsiTheme="minorHAnsi" w:cs="Arial"/>
              <w:color w:val="002060"/>
              <w:sz w:val="18"/>
              <w:szCs w:val="18"/>
            </w:rPr>
            <w:t>Level 1, Brookfield Tower, 123 St Georges Terrace</w:t>
          </w:r>
        </w:p>
      </w:tc>
    </w:tr>
    <w:tr w:rsidR="00796BBA" w:rsidRPr="00AC63BB" w14:paraId="17C5F6C4" w14:textId="77777777" w:rsidTr="00526C45">
      <w:trPr>
        <w:trHeight w:val="227"/>
        <w:jc w:val="right"/>
      </w:trPr>
      <w:tc>
        <w:tcPr>
          <w:tcW w:w="9378" w:type="dxa"/>
          <w:vAlign w:val="center"/>
        </w:tcPr>
        <w:p w14:paraId="10834A4C" w14:textId="77777777" w:rsidR="00796BBA" w:rsidRPr="00831B4A" w:rsidRDefault="00796BBA" w:rsidP="00796BBA">
          <w:pPr>
            <w:ind w:left="-108" w:right="34"/>
            <w:jc w:val="right"/>
            <w:rPr>
              <w:rFonts w:asciiTheme="minorHAnsi" w:hAnsiTheme="minorHAnsi" w:cs="Arial"/>
              <w:color w:val="002060"/>
              <w:sz w:val="18"/>
              <w:szCs w:val="18"/>
            </w:rPr>
          </w:pPr>
          <w:r w:rsidRPr="00831B4A">
            <w:rPr>
              <w:rFonts w:asciiTheme="minorHAnsi" w:hAnsiTheme="minorHAnsi" w:cs="Arial"/>
              <w:color w:val="002060"/>
              <w:sz w:val="18"/>
              <w:szCs w:val="18"/>
            </w:rPr>
            <w:t>Perth, Western Australia, 6000</w:t>
          </w:r>
        </w:p>
      </w:tc>
    </w:tr>
    <w:tr w:rsidR="00796BBA" w:rsidRPr="00AC63BB" w14:paraId="140D8A8A" w14:textId="77777777" w:rsidTr="00526C45">
      <w:trPr>
        <w:trHeight w:val="227"/>
        <w:jc w:val="right"/>
      </w:trPr>
      <w:tc>
        <w:tcPr>
          <w:tcW w:w="9378" w:type="dxa"/>
          <w:vAlign w:val="center"/>
        </w:tcPr>
        <w:p w14:paraId="209876AD" w14:textId="77777777" w:rsidR="00796BBA" w:rsidRPr="00831B4A" w:rsidRDefault="00796BBA" w:rsidP="00796BBA">
          <w:pPr>
            <w:ind w:left="-108" w:right="34"/>
            <w:jc w:val="right"/>
            <w:rPr>
              <w:rFonts w:asciiTheme="minorHAnsi" w:hAnsiTheme="minorHAnsi" w:cs="Arial"/>
              <w:color w:val="002060"/>
              <w:sz w:val="18"/>
              <w:szCs w:val="18"/>
            </w:rPr>
          </w:pPr>
          <w:r w:rsidRPr="00831B4A">
            <w:rPr>
              <w:rFonts w:asciiTheme="minorHAnsi" w:hAnsiTheme="minorHAnsi" w:cs="Arial"/>
              <w:color w:val="002060"/>
              <w:sz w:val="18"/>
              <w:szCs w:val="18"/>
            </w:rPr>
            <w:t>T: 0423 760 664</w:t>
          </w:r>
          <w:r w:rsidRPr="00831B4A">
            <w:rPr>
              <w:rFonts w:asciiTheme="minorHAnsi" w:hAnsiTheme="minorHAnsi" w:cs="Arial"/>
              <w:color w:val="002060"/>
              <w:sz w:val="18"/>
              <w:szCs w:val="18"/>
            </w:rPr>
            <w:br/>
            <w:t>E: rharris@domgas.com.au</w:t>
          </w:r>
        </w:p>
      </w:tc>
    </w:tr>
    <w:tr w:rsidR="00796BBA" w:rsidRPr="00AC63BB" w14:paraId="20726F39" w14:textId="77777777" w:rsidTr="00526C45">
      <w:trPr>
        <w:trHeight w:val="227"/>
        <w:jc w:val="right"/>
      </w:trPr>
      <w:tc>
        <w:tcPr>
          <w:tcW w:w="9378" w:type="dxa"/>
          <w:vAlign w:val="center"/>
        </w:tcPr>
        <w:p w14:paraId="668892BE" w14:textId="77777777" w:rsidR="00796BBA" w:rsidRPr="00831B4A" w:rsidRDefault="00796BBA" w:rsidP="00796BBA">
          <w:pPr>
            <w:ind w:left="-108" w:right="34"/>
            <w:jc w:val="right"/>
            <w:rPr>
              <w:rFonts w:asciiTheme="minorHAnsi" w:hAnsiTheme="minorHAnsi" w:cs="Arial"/>
              <w:color w:val="002060"/>
              <w:sz w:val="18"/>
              <w:szCs w:val="18"/>
            </w:rPr>
          </w:pPr>
          <w:r w:rsidRPr="00831B4A">
            <w:rPr>
              <w:rFonts w:asciiTheme="minorHAnsi" w:hAnsiTheme="minorHAnsi" w:cs="Arial"/>
              <w:color w:val="002060"/>
              <w:sz w:val="18"/>
              <w:szCs w:val="18"/>
            </w:rPr>
            <w:t>www.domgas.com.au</w:t>
          </w:r>
        </w:p>
      </w:tc>
    </w:tr>
  </w:tbl>
  <w:p w14:paraId="61219C45" w14:textId="77777777" w:rsidR="00796BBA" w:rsidRDefault="00796BBA" w:rsidP="00796BBA">
    <w:pPr>
      <w:pStyle w:val="Header"/>
    </w:pPr>
    <w:r>
      <w:rPr>
        <w:noProof/>
      </w:rPr>
      <w:drawing>
        <wp:anchor distT="0" distB="0" distL="114300" distR="114300" simplePos="0" relativeHeight="251659264" behindDoc="1" locked="0" layoutInCell="1" allowOverlap="1" wp14:anchorId="6174F69B" wp14:editId="5F257598">
          <wp:simplePos x="0" y="0"/>
          <wp:positionH relativeFrom="column">
            <wp:posOffset>4714875</wp:posOffset>
          </wp:positionH>
          <wp:positionV relativeFrom="paragraph">
            <wp:posOffset>-1755775</wp:posOffset>
          </wp:positionV>
          <wp:extent cx="1595120" cy="94297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9959" r="9284" b="12972"/>
                  <a:stretch/>
                </pic:blipFill>
                <pic:spPr bwMode="auto">
                  <a:xfrm>
                    <a:off x="0" y="0"/>
                    <a:ext cx="159512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A530A7" w14:textId="77777777" w:rsidR="00796BBA" w:rsidRDefault="00796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69E3"/>
    <w:multiLevelType w:val="hybridMultilevel"/>
    <w:tmpl w:val="160AF0B8"/>
    <w:lvl w:ilvl="0" w:tplc="72083466">
      <w:start w:val="1"/>
      <w:numFmt w:val="decimal"/>
      <w:lvlText w:val="%1."/>
      <w:lvlJc w:val="left"/>
      <w:pPr>
        <w:ind w:left="720" w:hanging="360"/>
      </w:pPr>
      <w:rPr>
        <w:rFonts w:ascii="Calibri" w:eastAsia="Calibri" w:hAnsi="Calibri"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4E85E74"/>
    <w:multiLevelType w:val="hybridMultilevel"/>
    <w:tmpl w:val="7D68953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8386BD8"/>
    <w:multiLevelType w:val="hybridMultilevel"/>
    <w:tmpl w:val="3416B8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333CAB"/>
    <w:multiLevelType w:val="hybridMultilevel"/>
    <w:tmpl w:val="3058EC82"/>
    <w:lvl w:ilvl="0" w:tplc="D1EE0E8A">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D001764"/>
    <w:multiLevelType w:val="hybridMultilevel"/>
    <w:tmpl w:val="DF2C45B2"/>
    <w:lvl w:ilvl="0" w:tplc="0896BFC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E2703E"/>
    <w:multiLevelType w:val="hybridMultilevel"/>
    <w:tmpl w:val="A392A7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38706371">
    <w:abstractNumId w:val="1"/>
  </w:num>
  <w:num w:numId="2" w16cid:durableId="1324964695">
    <w:abstractNumId w:val="4"/>
  </w:num>
  <w:num w:numId="3" w16cid:durableId="58870426">
    <w:abstractNumId w:val="0"/>
    <w:lvlOverride w:ilvl="0">
      <w:startOverride w:val="1"/>
    </w:lvlOverride>
    <w:lvlOverride w:ilvl="1"/>
    <w:lvlOverride w:ilvl="2"/>
    <w:lvlOverride w:ilvl="3"/>
    <w:lvlOverride w:ilvl="4"/>
    <w:lvlOverride w:ilvl="5"/>
    <w:lvlOverride w:ilvl="6"/>
    <w:lvlOverride w:ilvl="7"/>
    <w:lvlOverride w:ilvl="8"/>
  </w:num>
  <w:num w:numId="4" w16cid:durableId="775713257">
    <w:abstractNumId w:val="3"/>
  </w:num>
  <w:num w:numId="5" w16cid:durableId="1141114450">
    <w:abstractNumId w:val="0"/>
  </w:num>
  <w:num w:numId="6" w16cid:durableId="1377969376">
    <w:abstractNumId w:val="5"/>
  </w:num>
  <w:num w:numId="7" w16cid:durableId="92554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1B"/>
    <w:rsid w:val="00076CB7"/>
    <w:rsid w:val="000E5124"/>
    <w:rsid w:val="00126AEC"/>
    <w:rsid w:val="00131A52"/>
    <w:rsid w:val="00140DAC"/>
    <w:rsid w:val="00157647"/>
    <w:rsid w:val="00175489"/>
    <w:rsid w:val="001B41F1"/>
    <w:rsid w:val="001D3D97"/>
    <w:rsid w:val="001F1033"/>
    <w:rsid w:val="002224F3"/>
    <w:rsid w:val="002807CC"/>
    <w:rsid w:val="002A6466"/>
    <w:rsid w:val="003027EF"/>
    <w:rsid w:val="00393004"/>
    <w:rsid w:val="003F7668"/>
    <w:rsid w:val="00426277"/>
    <w:rsid w:val="00427DB1"/>
    <w:rsid w:val="00453D34"/>
    <w:rsid w:val="00470843"/>
    <w:rsid w:val="004B61ED"/>
    <w:rsid w:val="00515ECF"/>
    <w:rsid w:val="0052181D"/>
    <w:rsid w:val="00557D7F"/>
    <w:rsid w:val="005655BC"/>
    <w:rsid w:val="00585A1C"/>
    <w:rsid w:val="005A0FD8"/>
    <w:rsid w:val="005E6888"/>
    <w:rsid w:val="00612BC5"/>
    <w:rsid w:val="00665B5A"/>
    <w:rsid w:val="00694E14"/>
    <w:rsid w:val="006D5181"/>
    <w:rsid w:val="006F24E0"/>
    <w:rsid w:val="00736206"/>
    <w:rsid w:val="007449D9"/>
    <w:rsid w:val="007511B2"/>
    <w:rsid w:val="00754949"/>
    <w:rsid w:val="00762E1E"/>
    <w:rsid w:val="007634C4"/>
    <w:rsid w:val="0077016D"/>
    <w:rsid w:val="00796BBA"/>
    <w:rsid w:val="007B1109"/>
    <w:rsid w:val="007B1B78"/>
    <w:rsid w:val="007C12D4"/>
    <w:rsid w:val="007F7DB8"/>
    <w:rsid w:val="008059F7"/>
    <w:rsid w:val="0080762F"/>
    <w:rsid w:val="008466F0"/>
    <w:rsid w:val="008502B1"/>
    <w:rsid w:val="0085142A"/>
    <w:rsid w:val="008A2FBF"/>
    <w:rsid w:val="008D1C70"/>
    <w:rsid w:val="00900D75"/>
    <w:rsid w:val="00972DF5"/>
    <w:rsid w:val="009822B4"/>
    <w:rsid w:val="0099251B"/>
    <w:rsid w:val="009C6026"/>
    <w:rsid w:val="009C6B05"/>
    <w:rsid w:val="009F3A75"/>
    <w:rsid w:val="00A130E1"/>
    <w:rsid w:val="00A9381B"/>
    <w:rsid w:val="00AC3645"/>
    <w:rsid w:val="00AC3820"/>
    <w:rsid w:val="00AC521B"/>
    <w:rsid w:val="00AE2744"/>
    <w:rsid w:val="00B25868"/>
    <w:rsid w:val="00B86C38"/>
    <w:rsid w:val="00BC5558"/>
    <w:rsid w:val="00BD43DA"/>
    <w:rsid w:val="00C11A42"/>
    <w:rsid w:val="00C21005"/>
    <w:rsid w:val="00C21E83"/>
    <w:rsid w:val="00C877A4"/>
    <w:rsid w:val="00D16099"/>
    <w:rsid w:val="00D70C43"/>
    <w:rsid w:val="00DD7FEC"/>
    <w:rsid w:val="00DE567A"/>
    <w:rsid w:val="00DE7EA1"/>
    <w:rsid w:val="00E0418F"/>
    <w:rsid w:val="00E0640B"/>
    <w:rsid w:val="00E07D17"/>
    <w:rsid w:val="00E273FF"/>
    <w:rsid w:val="00F03CC5"/>
    <w:rsid w:val="00F3131A"/>
    <w:rsid w:val="00F46F46"/>
    <w:rsid w:val="00FD2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85949"/>
  <w15:chartTrackingRefBased/>
  <w15:docId w15:val="{289DED05-4847-44AA-BCDA-DE0E0073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1B"/>
  </w:style>
  <w:style w:type="paragraph" w:styleId="Heading1">
    <w:name w:val="heading 1"/>
    <w:basedOn w:val="Normal"/>
    <w:next w:val="Normal"/>
    <w:link w:val="Heading1Char"/>
    <w:uiPriority w:val="9"/>
    <w:qFormat/>
    <w:rsid w:val="007C12D4"/>
    <w:pPr>
      <w:keepNext/>
      <w:keepLines/>
      <w:spacing w:before="480" w:after="0" w:line="276" w:lineRule="auto"/>
      <w:outlineLvl w:val="0"/>
    </w:pPr>
    <w:rPr>
      <w:rFonts w:ascii="Arial" w:eastAsiaTheme="majorEastAsia" w:hAnsi="Arial" w:cstheme="majorHAnsi"/>
      <w:b/>
      <w:bCs/>
      <w:color w:val="660066"/>
      <w:sz w:val="24"/>
      <w:szCs w:val="28"/>
    </w:rPr>
  </w:style>
  <w:style w:type="paragraph" w:styleId="Heading2">
    <w:name w:val="heading 2"/>
    <w:basedOn w:val="Normal"/>
    <w:next w:val="Normal"/>
    <w:link w:val="Heading2Char"/>
    <w:uiPriority w:val="9"/>
    <w:unhideWhenUsed/>
    <w:qFormat/>
    <w:rsid w:val="009C6B05"/>
    <w:pPr>
      <w:keepNext/>
      <w:keepLines/>
      <w:spacing w:before="40" w:after="0"/>
      <w:jc w:val="both"/>
      <w:outlineLvl w:val="1"/>
    </w:pPr>
    <w:rPr>
      <w:rFonts w:asciiTheme="majorHAnsi" w:eastAsiaTheme="majorEastAsia" w:hAnsiTheme="majorHAnsi" w:cstheme="majorBidi"/>
      <w:color w:val="53247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D4"/>
    <w:rPr>
      <w:rFonts w:ascii="Arial" w:eastAsiaTheme="majorEastAsia" w:hAnsi="Arial" w:cstheme="majorHAnsi"/>
      <w:b/>
      <w:bCs/>
      <w:color w:val="660066"/>
      <w:sz w:val="24"/>
      <w:szCs w:val="28"/>
    </w:rPr>
  </w:style>
  <w:style w:type="paragraph" w:styleId="Title">
    <w:name w:val="Title"/>
    <w:basedOn w:val="Normal"/>
    <w:next w:val="Normal"/>
    <w:link w:val="TitleChar"/>
    <w:uiPriority w:val="10"/>
    <w:qFormat/>
    <w:rsid w:val="007C12D4"/>
    <w:pPr>
      <w:spacing w:after="0" w:line="288" w:lineRule="auto"/>
      <w:contextualSpacing/>
    </w:pPr>
    <w:rPr>
      <w:rFonts w:ascii="Georgia" w:eastAsiaTheme="majorEastAsia" w:hAnsi="Georgia" w:cs="Times New Roman (Headings CS)"/>
      <w:bCs/>
      <w:color w:val="7030A0" w:themeColor="accent1"/>
      <w:spacing w:val="-10"/>
      <w:kern w:val="28"/>
      <w:sz w:val="72"/>
      <w:szCs w:val="56"/>
    </w:rPr>
  </w:style>
  <w:style w:type="character" w:customStyle="1" w:styleId="TitleChar">
    <w:name w:val="Title Char"/>
    <w:basedOn w:val="DefaultParagraphFont"/>
    <w:link w:val="Title"/>
    <w:uiPriority w:val="10"/>
    <w:rsid w:val="007C12D4"/>
    <w:rPr>
      <w:rFonts w:ascii="Georgia" w:eastAsiaTheme="majorEastAsia" w:hAnsi="Georgia" w:cs="Times New Roman (Headings CS)"/>
      <w:bCs/>
      <w:color w:val="7030A0" w:themeColor="accent1"/>
      <w:spacing w:val="-10"/>
      <w:kern w:val="28"/>
      <w:sz w:val="72"/>
      <w:szCs w:val="56"/>
    </w:rPr>
  </w:style>
  <w:style w:type="paragraph" w:styleId="Subtitle">
    <w:name w:val="Subtitle"/>
    <w:basedOn w:val="Normal"/>
    <w:next w:val="Normal"/>
    <w:link w:val="SubtitleChar"/>
    <w:uiPriority w:val="11"/>
    <w:qFormat/>
    <w:rsid w:val="007C12D4"/>
    <w:pPr>
      <w:numPr>
        <w:ilvl w:val="1"/>
      </w:numPr>
      <w:spacing w:line="288" w:lineRule="auto"/>
    </w:pPr>
    <w:rPr>
      <w:rFonts w:ascii="Arial" w:eastAsiaTheme="minorEastAsia" w:hAnsi="Arial" w:cs="Arial"/>
      <w:b/>
      <w:bCs/>
      <w:color w:val="01CB9B" w:themeColor="accent2"/>
      <w:sz w:val="32"/>
      <w:szCs w:val="32"/>
    </w:rPr>
  </w:style>
  <w:style w:type="character" w:customStyle="1" w:styleId="SubtitleChar">
    <w:name w:val="Subtitle Char"/>
    <w:basedOn w:val="DefaultParagraphFont"/>
    <w:link w:val="Subtitle"/>
    <w:uiPriority w:val="11"/>
    <w:rsid w:val="007C12D4"/>
    <w:rPr>
      <w:rFonts w:ascii="Arial" w:eastAsiaTheme="minorEastAsia" w:hAnsi="Arial" w:cs="Arial"/>
      <w:b/>
      <w:bCs/>
      <w:color w:val="01CB9B" w:themeColor="accent2"/>
      <w:sz w:val="32"/>
      <w:szCs w:val="32"/>
    </w:rPr>
  </w:style>
  <w:style w:type="paragraph" w:styleId="ListParagraph">
    <w:name w:val="List Paragraph"/>
    <w:basedOn w:val="Normal"/>
    <w:link w:val="ListParagraphChar"/>
    <w:uiPriority w:val="34"/>
    <w:qFormat/>
    <w:rsid w:val="007C12D4"/>
    <w:pPr>
      <w:spacing w:after="0" w:line="360" w:lineRule="auto"/>
      <w:ind w:left="720"/>
      <w:contextualSpacing/>
    </w:pPr>
    <w:rPr>
      <w:rFonts w:ascii="Arial" w:eastAsiaTheme="minorEastAsia" w:hAnsi="Arial"/>
      <w:sz w:val="20"/>
      <w:szCs w:val="24"/>
    </w:rPr>
  </w:style>
  <w:style w:type="character" w:customStyle="1" w:styleId="ListParagraphChar">
    <w:name w:val="List Paragraph Char"/>
    <w:link w:val="ListParagraph"/>
    <w:uiPriority w:val="34"/>
    <w:locked/>
    <w:rsid w:val="007C12D4"/>
    <w:rPr>
      <w:rFonts w:ascii="Arial" w:eastAsiaTheme="minorEastAsia" w:hAnsi="Arial"/>
      <w:sz w:val="20"/>
      <w:szCs w:val="24"/>
    </w:rPr>
  </w:style>
  <w:style w:type="paragraph" w:styleId="Header">
    <w:name w:val="header"/>
    <w:basedOn w:val="Normal"/>
    <w:link w:val="HeaderChar"/>
    <w:uiPriority w:val="99"/>
    <w:unhideWhenUsed/>
    <w:rsid w:val="00992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51B"/>
  </w:style>
  <w:style w:type="table" w:styleId="TableGrid">
    <w:name w:val="Table Grid"/>
    <w:aliases w:val="none,CV table"/>
    <w:basedOn w:val="TableNormal"/>
    <w:rsid w:val="0099251B"/>
    <w:pPr>
      <w:spacing w:after="0" w:line="240" w:lineRule="auto"/>
    </w:pPr>
    <w:rPr>
      <w:rFonts w:ascii="Times" w:eastAsia="Times New Roman" w:hAnsi="Times" w:cs="Times New Roman"/>
      <w:sz w:val="20"/>
      <w:szCs w:val="20"/>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9251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9251B"/>
    <w:rPr>
      <w:rFonts w:ascii="Calibri" w:hAnsi="Calibri" w:cs="Consolas"/>
      <w:szCs w:val="21"/>
    </w:rPr>
  </w:style>
  <w:style w:type="character" w:customStyle="1" w:styleId="Heading2Char">
    <w:name w:val="Heading 2 Char"/>
    <w:basedOn w:val="DefaultParagraphFont"/>
    <w:link w:val="Heading2"/>
    <w:uiPriority w:val="9"/>
    <w:rsid w:val="009C6B05"/>
    <w:rPr>
      <w:rFonts w:asciiTheme="majorHAnsi" w:eastAsiaTheme="majorEastAsia" w:hAnsiTheme="majorHAnsi" w:cstheme="majorBidi"/>
      <w:color w:val="532477" w:themeColor="accent1" w:themeShade="BF"/>
      <w:sz w:val="26"/>
      <w:szCs w:val="26"/>
    </w:rPr>
  </w:style>
  <w:style w:type="paragraph" w:styleId="FootnoteText">
    <w:name w:val="footnote text"/>
    <w:basedOn w:val="Normal"/>
    <w:link w:val="FootnoteTextChar"/>
    <w:uiPriority w:val="99"/>
    <w:semiHidden/>
    <w:unhideWhenUsed/>
    <w:rsid w:val="00796BB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796BBA"/>
    <w:rPr>
      <w:sz w:val="20"/>
      <w:szCs w:val="20"/>
    </w:rPr>
  </w:style>
  <w:style w:type="character" w:styleId="FootnoteReference">
    <w:name w:val="footnote reference"/>
    <w:basedOn w:val="DefaultParagraphFont"/>
    <w:uiPriority w:val="99"/>
    <w:semiHidden/>
    <w:unhideWhenUsed/>
    <w:rsid w:val="00796BBA"/>
    <w:rPr>
      <w:vertAlign w:val="superscript"/>
    </w:rPr>
  </w:style>
  <w:style w:type="paragraph" w:styleId="Footer">
    <w:name w:val="footer"/>
    <w:basedOn w:val="Normal"/>
    <w:link w:val="FooterChar"/>
    <w:uiPriority w:val="99"/>
    <w:unhideWhenUsed/>
    <w:rsid w:val="00796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BBA"/>
  </w:style>
  <w:style w:type="character" w:styleId="Hyperlink">
    <w:name w:val="Hyperlink"/>
    <w:basedOn w:val="DefaultParagraphFont"/>
    <w:uiPriority w:val="99"/>
    <w:semiHidden/>
    <w:unhideWhenUsed/>
    <w:rsid w:val="00796BBA"/>
    <w:rPr>
      <w:color w:val="0000FF"/>
      <w:u w:val="single"/>
    </w:rPr>
  </w:style>
  <w:style w:type="paragraph" w:styleId="EndnoteText">
    <w:name w:val="endnote text"/>
    <w:basedOn w:val="Normal"/>
    <w:link w:val="EndnoteTextChar"/>
    <w:uiPriority w:val="99"/>
    <w:semiHidden/>
    <w:unhideWhenUsed/>
    <w:rsid w:val="008D1C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1C70"/>
    <w:rPr>
      <w:sz w:val="20"/>
      <w:szCs w:val="20"/>
    </w:rPr>
  </w:style>
  <w:style w:type="character" w:styleId="EndnoteReference">
    <w:name w:val="endnote reference"/>
    <w:basedOn w:val="DefaultParagraphFont"/>
    <w:uiPriority w:val="99"/>
    <w:semiHidden/>
    <w:unhideWhenUsed/>
    <w:rsid w:val="008D1C70"/>
    <w:rPr>
      <w:vertAlign w:val="superscript"/>
    </w:rPr>
  </w:style>
  <w:style w:type="character" w:styleId="CommentReference">
    <w:name w:val="annotation reference"/>
    <w:basedOn w:val="DefaultParagraphFont"/>
    <w:uiPriority w:val="99"/>
    <w:semiHidden/>
    <w:unhideWhenUsed/>
    <w:rsid w:val="00972DF5"/>
    <w:rPr>
      <w:sz w:val="16"/>
      <w:szCs w:val="16"/>
    </w:rPr>
  </w:style>
  <w:style w:type="paragraph" w:styleId="CommentText">
    <w:name w:val="annotation text"/>
    <w:basedOn w:val="Normal"/>
    <w:link w:val="CommentTextChar"/>
    <w:uiPriority w:val="99"/>
    <w:unhideWhenUsed/>
    <w:rsid w:val="00972DF5"/>
    <w:pPr>
      <w:spacing w:line="240" w:lineRule="auto"/>
    </w:pPr>
    <w:rPr>
      <w:sz w:val="20"/>
      <w:szCs w:val="20"/>
    </w:rPr>
  </w:style>
  <w:style w:type="character" w:customStyle="1" w:styleId="CommentTextChar">
    <w:name w:val="Comment Text Char"/>
    <w:basedOn w:val="DefaultParagraphFont"/>
    <w:link w:val="CommentText"/>
    <w:uiPriority w:val="99"/>
    <w:rsid w:val="00972DF5"/>
    <w:rPr>
      <w:sz w:val="20"/>
      <w:szCs w:val="20"/>
    </w:rPr>
  </w:style>
  <w:style w:type="paragraph" w:styleId="CommentSubject">
    <w:name w:val="annotation subject"/>
    <w:basedOn w:val="CommentText"/>
    <w:next w:val="CommentText"/>
    <w:link w:val="CommentSubjectChar"/>
    <w:uiPriority w:val="99"/>
    <w:semiHidden/>
    <w:unhideWhenUsed/>
    <w:rsid w:val="00972DF5"/>
    <w:rPr>
      <w:b/>
      <w:bCs/>
    </w:rPr>
  </w:style>
  <w:style w:type="character" w:customStyle="1" w:styleId="CommentSubjectChar">
    <w:name w:val="Comment Subject Char"/>
    <w:basedOn w:val="CommentTextChar"/>
    <w:link w:val="CommentSubject"/>
    <w:uiPriority w:val="99"/>
    <w:semiHidden/>
    <w:rsid w:val="00972D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a.gov.au/government/publications/pluto-acceleration-domestic-gas-commitment-agre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wa.gov.au/legislation/statutes.nsf/law_a698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wa.gov.au/legislation/statutes.nsf/law_a147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wa.gov.au/government/publications/waitsia-joint-venture-domestic-gas-commitment-agreemen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gov.au/government/publications/additional-domestic-gas-commitment-agre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5A5A5"/>
      </a:dk2>
      <a:lt2>
        <a:srgbClr val="E7E6E6"/>
      </a:lt2>
      <a:accent1>
        <a:srgbClr val="7030A0"/>
      </a:accent1>
      <a:accent2>
        <a:srgbClr val="01CB9B"/>
      </a:accent2>
      <a:accent3>
        <a:srgbClr val="61D6FF"/>
      </a:accent3>
      <a:accent4>
        <a:srgbClr val="FF5050"/>
      </a:accent4>
      <a:accent5>
        <a:srgbClr val="ADB9CA"/>
      </a:accent5>
      <a:accent6>
        <a:srgbClr val="FFF901"/>
      </a:accent6>
      <a:hlink>
        <a:srgbClr val="034A90"/>
      </a:hlink>
      <a:folHlink>
        <a:srgbClr val="00B0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2C8A-6B92-4B94-91BB-F7FE85DE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Liddell</dc:creator>
  <cp:keywords/>
  <dc:description/>
  <cp:lastModifiedBy>Bree Liddell</cp:lastModifiedBy>
  <cp:revision>13</cp:revision>
  <dcterms:created xsi:type="dcterms:W3CDTF">2023-02-21T03:12:00Z</dcterms:created>
  <dcterms:modified xsi:type="dcterms:W3CDTF">2023-02-23T05:50:00Z</dcterms:modified>
</cp:coreProperties>
</file>